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7E4E1" w14:textId="27507E56" w:rsidR="00EC0AE9" w:rsidRDefault="00EC0AE9" w:rsidP="00EC0AE9">
      <w:pPr>
        <w:pStyle w:val="CRCoverPage"/>
        <w:tabs>
          <w:tab w:val="right" w:pos="9639"/>
        </w:tabs>
        <w:spacing w:after="0"/>
        <w:rPr>
          <w:b/>
          <w:noProof/>
          <w:sz w:val="24"/>
        </w:rPr>
      </w:pPr>
      <w:r>
        <w:rPr>
          <w:b/>
          <w:noProof/>
          <w:sz w:val="24"/>
        </w:rPr>
        <w:t>3GPP TSG-SA Meeting #</w:t>
      </w:r>
      <w:r w:rsidR="00E55A58">
        <w:rPr>
          <w:b/>
          <w:noProof/>
          <w:sz w:val="24"/>
        </w:rPr>
        <w:t>99</w:t>
      </w:r>
      <w:r>
        <w:rPr>
          <w:b/>
          <w:noProof/>
          <w:sz w:val="24"/>
        </w:rPr>
        <w:tab/>
        <w:t>S</w:t>
      </w:r>
      <w:r w:rsidR="00C127FC">
        <w:rPr>
          <w:b/>
          <w:noProof/>
          <w:sz w:val="24"/>
        </w:rPr>
        <w:t>P</w:t>
      </w:r>
      <w:r>
        <w:rPr>
          <w:b/>
          <w:noProof/>
          <w:sz w:val="24"/>
        </w:rPr>
        <w:t>-</w:t>
      </w:r>
      <w:r w:rsidR="005F5F37" w:rsidRPr="005F5F37">
        <w:rPr>
          <w:b/>
          <w:noProof/>
          <w:sz w:val="24"/>
        </w:rPr>
        <w:t>230332</w:t>
      </w:r>
    </w:p>
    <w:p w14:paraId="67A46174" w14:textId="5FF47FBB" w:rsidR="00EC0AE9" w:rsidRDefault="00E55A58" w:rsidP="00EC0AE9">
      <w:pPr>
        <w:pStyle w:val="CRCoverPage"/>
        <w:tabs>
          <w:tab w:val="right" w:pos="9639"/>
        </w:tabs>
        <w:spacing w:after="0"/>
        <w:rPr>
          <w:b/>
          <w:noProof/>
          <w:sz w:val="24"/>
        </w:rPr>
      </w:pPr>
      <w:r>
        <w:rPr>
          <w:b/>
          <w:noProof/>
          <w:sz w:val="22"/>
          <w:szCs w:val="22"/>
        </w:rPr>
        <w:t>Rotterdam, Netherlands,</w:t>
      </w:r>
      <w:r w:rsidR="00EC0AE9">
        <w:rPr>
          <w:b/>
          <w:noProof/>
          <w:sz w:val="22"/>
          <w:szCs w:val="22"/>
        </w:rPr>
        <w:t xml:space="preserve"> </w:t>
      </w:r>
      <w:r w:rsidR="009A3A6B">
        <w:rPr>
          <w:b/>
          <w:noProof/>
          <w:sz w:val="22"/>
          <w:szCs w:val="22"/>
        </w:rPr>
        <w:t>21-24</w:t>
      </w:r>
      <w:r w:rsidR="00EC0AE9">
        <w:rPr>
          <w:b/>
          <w:noProof/>
          <w:sz w:val="22"/>
          <w:szCs w:val="22"/>
        </w:rPr>
        <w:t xml:space="preserve"> </w:t>
      </w:r>
      <w:r w:rsidR="00ED48C3">
        <w:rPr>
          <w:rFonts w:cs="Arial"/>
          <w:b/>
          <w:bCs/>
          <w:sz w:val="22"/>
          <w:szCs w:val="22"/>
        </w:rPr>
        <w:t>March</w:t>
      </w:r>
      <w:r w:rsidR="00EC0AE9">
        <w:rPr>
          <w:rFonts w:cs="Arial"/>
          <w:b/>
          <w:bCs/>
          <w:sz w:val="22"/>
          <w:szCs w:val="22"/>
        </w:rPr>
        <w:t xml:space="preserve"> </w:t>
      </w:r>
      <w:r w:rsidR="00EC0AE9">
        <w:rPr>
          <w:b/>
          <w:noProof/>
          <w:sz w:val="22"/>
          <w:szCs w:val="22"/>
        </w:rPr>
        <w:t>202</w:t>
      </w:r>
      <w:r w:rsidR="00ED48C3">
        <w:rPr>
          <w:b/>
          <w:noProof/>
          <w:sz w:val="22"/>
          <w:szCs w:val="22"/>
        </w:rPr>
        <w:t>3</w:t>
      </w:r>
      <w:r w:rsidR="00EC0AE9">
        <w:rPr>
          <w:rFonts w:cs="Arial"/>
          <w:b/>
          <w:bCs/>
          <w:sz w:val="22"/>
        </w:rPr>
        <w:tab/>
      </w:r>
    </w:p>
    <w:p w14:paraId="697CA546" w14:textId="77777777" w:rsidR="00B97703" w:rsidRDefault="00B97703">
      <w:pPr>
        <w:rPr>
          <w:rFonts w:ascii="Arial" w:hAnsi="Arial" w:cs="Arial"/>
        </w:rPr>
      </w:pPr>
    </w:p>
    <w:p w14:paraId="7C48FFE4" w14:textId="77777777" w:rsidR="005E0C6E" w:rsidRDefault="005E0C6E" w:rsidP="005E0C6E">
      <w:pPr>
        <w:ind w:left="2127" w:hanging="2127"/>
        <w:rPr>
          <w:rFonts w:ascii="Arial" w:hAnsi="Arial" w:cs="Arial"/>
          <w:b/>
        </w:rPr>
      </w:pPr>
      <w:r>
        <w:rPr>
          <w:rFonts w:ascii="Arial" w:hAnsi="Arial" w:cs="Arial"/>
          <w:b/>
        </w:rPr>
        <w:t>Source:</w:t>
      </w:r>
      <w:r>
        <w:rPr>
          <w:rFonts w:ascii="Arial" w:hAnsi="Arial" w:cs="Arial"/>
          <w:b/>
        </w:rPr>
        <w:tab/>
        <w:t>Qualcomm Incorporated</w:t>
      </w:r>
    </w:p>
    <w:p w14:paraId="178DCB69" w14:textId="7A42694E" w:rsidR="005E0C6E" w:rsidRDefault="005E0C6E" w:rsidP="005E0C6E">
      <w:pPr>
        <w:ind w:left="2127" w:hanging="2127"/>
        <w:rPr>
          <w:rFonts w:ascii="Arial" w:hAnsi="Arial" w:cs="Arial"/>
          <w:b/>
        </w:rPr>
      </w:pPr>
      <w:r>
        <w:rPr>
          <w:rFonts w:ascii="Arial" w:hAnsi="Arial" w:cs="Arial"/>
          <w:b/>
        </w:rPr>
        <w:t>Title:</w:t>
      </w:r>
      <w:r>
        <w:rPr>
          <w:rFonts w:ascii="Arial" w:hAnsi="Arial" w:cs="Arial"/>
          <w:b/>
        </w:rPr>
        <w:tab/>
        <w:t>On UE data collection</w:t>
      </w:r>
    </w:p>
    <w:p w14:paraId="35C13F1B" w14:textId="77777777" w:rsidR="005E0C6E" w:rsidRDefault="005E0C6E" w:rsidP="005E0C6E">
      <w:pPr>
        <w:ind w:left="2127" w:hanging="2127"/>
        <w:rPr>
          <w:rFonts w:ascii="Arial" w:hAnsi="Arial" w:cs="Arial"/>
          <w:b/>
        </w:rPr>
      </w:pPr>
      <w:r>
        <w:rPr>
          <w:rFonts w:ascii="Arial" w:hAnsi="Arial" w:cs="Arial"/>
          <w:b/>
        </w:rPr>
        <w:t>Document for:</w:t>
      </w:r>
      <w:r>
        <w:rPr>
          <w:rFonts w:ascii="Arial" w:hAnsi="Arial" w:cs="Arial"/>
          <w:b/>
        </w:rPr>
        <w:tab/>
        <w:t>Discussion/Approval</w:t>
      </w:r>
    </w:p>
    <w:p w14:paraId="519EBEFB" w14:textId="470F7A6D" w:rsidR="005E0C6E" w:rsidRDefault="005E0C6E" w:rsidP="005E0C6E">
      <w:pPr>
        <w:ind w:left="2127" w:hanging="2127"/>
        <w:rPr>
          <w:rFonts w:ascii="Arial" w:hAnsi="Arial" w:cs="Arial"/>
          <w:b/>
        </w:rPr>
      </w:pPr>
      <w:r>
        <w:rPr>
          <w:rFonts w:ascii="Arial" w:hAnsi="Arial" w:cs="Arial"/>
          <w:b/>
        </w:rPr>
        <w:t>Agenda Item:</w:t>
      </w:r>
      <w:r>
        <w:rPr>
          <w:rFonts w:ascii="Arial" w:hAnsi="Arial" w:cs="Arial"/>
          <w:b/>
        </w:rPr>
        <w:tab/>
      </w:r>
      <w:r w:rsidR="00C40273">
        <w:rPr>
          <w:rFonts w:ascii="Arial" w:hAnsi="Arial" w:cs="Arial"/>
          <w:b/>
        </w:rPr>
        <w:t>3.5</w:t>
      </w:r>
    </w:p>
    <w:p w14:paraId="52118AA9" w14:textId="04D8F658" w:rsidR="005E0C6E" w:rsidRDefault="005E0C6E" w:rsidP="005E0C6E">
      <w:pPr>
        <w:ind w:left="2127" w:hanging="2127"/>
        <w:rPr>
          <w:rFonts w:ascii="Arial" w:hAnsi="Arial" w:cs="Arial"/>
          <w:b/>
        </w:rPr>
      </w:pPr>
      <w:r>
        <w:rPr>
          <w:rFonts w:ascii="Arial" w:hAnsi="Arial" w:cs="Arial"/>
          <w:b/>
        </w:rPr>
        <w:t>Work Item / Release:</w:t>
      </w:r>
      <w:r>
        <w:rPr>
          <w:rFonts w:ascii="Arial" w:hAnsi="Arial" w:cs="Arial"/>
          <w:b/>
        </w:rPr>
        <w:tab/>
      </w:r>
      <w:r w:rsidR="00206E94">
        <w:rPr>
          <w:rFonts w:ascii="Arial" w:hAnsi="Arial" w:cs="Arial"/>
          <w:b/>
        </w:rPr>
        <w:t>EVEX,</w:t>
      </w:r>
      <w:r w:rsidR="004A639A">
        <w:rPr>
          <w:rFonts w:ascii="Arial" w:hAnsi="Arial" w:cs="Arial"/>
          <w:b/>
        </w:rPr>
        <w:t xml:space="preserve"> ADAES, </w:t>
      </w:r>
      <w:r w:rsidR="00696B6F">
        <w:rPr>
          <w:rFonts w:ascii="Arial" w:hAnsi="Arial" w:cs="Arial"/>
          <w:b/>
        </w:rPr>
        <w:t xml:space="preserve">eSEAL2, </w:t>
      </w:r>
      <w:r w:rsidR="004A639A">
        <w:rPr>
          <w:rFonts w:ascii="Arial" w:hAnsi="Arial" w:cs="Arial"/>
          <w:b/>
        </w:rPr>
        <w:t>eNA_ph2/Rel.18</w:t>
      </w:r>
      <w:r w:rsidR="0066353C">
        <w:rPr>
          <w:rFonts w:ascii="Arial" w:hAnsi="Arial" w:cs="Arial"/>
          <w:b/>
        </w:rPr>
        <w:t>/19</w:t>
      </w:r>
    </w:p>
    <w:p w14:paraId="06014951" w14:textId="0E2438B3" w:rsidR="005E0C6E" w:rsidRDefault="005E0C6E" w:rsidP="005E0C6E">
      <w:pPr>
        <w:rPr>
          <w:rFonts w:ascii="Arial" w:hAnsi="Arial" w:cs="Arial"/>
          <w:i/>
        </w:rPr>
      </w:pPr>
      <w:r>
        <w:rPr>
          <w:rFonts w:ascii="Arial" w:hAnsi="Arial" w:cs="Arial"/>
          <w:i/>
        </w:rPr>
        <w:t>Abstract of the contribution:</w:t>
      </w:r>
      <w:r w:rsidR="004D2ABA">
        <w:rPr>
          <w:rFonts w:ascii="Arial" w:hAnsi="Arial" w:cs="Arial"/>
          <w:i/>
        </w:rPr>
        <w:t xml:space="preserve"> Discusses how to best address </w:t>
      </w:r>
      <w:r w:rsidR="009E6F79" w:rsidRPr="009E6F79">
        <w:rPr>
          <w:rFonts w:ascii="Arial" w:hAnsi="Arial" w:cs="Arial"/>
          <w:i/>
        </w:rPr>
        <w:t>UE data collection</w:t>
      </w:r>
      <w:r w:rsidR="009E6F79">
        <w:rPr>
          <w:rFonts w:ascii="Arial" w:hAnsi="Arial" w:cs="Arial"/>
          <w:i/>
        </w:rPr>
        <w:t xml:space="preserve"> in various SA WGs in order to avoid fragmentation in the solutions</w:t>
      </w:r>
      <w:r>
        <w:rPr>
          <w:rFonts w:ascii="Arial" w:hAnsi="Arial" w:cs="Arial"/>
          <w:i/>
        </w:rPr>
        <w:t xml:space="preserve">. </w:t>
      </w:r>
    </w:p>
    <w:p w14:paraId="23BA7AB9" w14:textId="17A4D706" w:rsidR="00B97703" w:rsidRDefault="00547BD2" w:rsidP="00B97703">
      <w:pPr>
        <w:pStyle w:val="Heading1"/>
      </w:pPr>
      <w:r>
        <w:t>1</w:t>
      </w:r>
      <w:r w:rsidR="002F1940">
        <w:tab/>
      </w:r>
      <w:r w:rsidR="000F6242">
        <w:t>Overall description</w:t>
      </w:r>
    </w:p>
    <w:p w14:paraId="4879DBF6" w14:textId="2AC7071E" w:rsidR="00FE5753" w:rsidRDefault="00993F50" w:rsidP="00F74830">
      <w:r>
        <w:t xml:space="preserve">This paper discusses the topic of UE data collection and reporting and </w:t>
      </w:r>
      <w:r w:rsidR="009C0378">
        <w:t xml:space="preserve">discusses </w:t>
      </w:r>
      <w:r w:rsidR="009C0378" w:rsidRPr="009C0378">
        <w:t>how to best address UE data collection in various SA WGs in order to avoid fragmentation in the solutions.</w:t>
      </w:r>
    </w:p>
    <w:p w14:paraId="0A547EB7" w14:textId="095C3B4C" w:rsidR="005F1CA7" w:rsidRDefault="005F1CA7" w:rsidP="005F1CA7">
      <w:pPr>
        <w:pStyle w:val="Heading2"/>
      </w:pPr>
      <w:r>
        <w:t>2</w:t>
      </w:r>
      <w:r>
        <w:tab/>
        <w:t>Status in SA4</w:t>
      </w:r>
    </w:p>
    <w:p w14:paraId="6D91C791" w14:textId="77777777" w:rsidR="00EF43A6" w:rsidRPr="000D2E94" w:rsidRDefault="00EF43A6" w:rsidP="00EF43A6">
      <w:r w:rsidRPr="000D2E94">
        <w:t>The SA4 specifications on UE data collection, reporting and event exposure describe and define the mechanisms whereby different types of data collection clients, such as a UE, an application server in the network, or a server entity of an Application Service Provider, to collect and report a variety of application-level UE information, in accordance with their respective configurations, to a Data Collection AF (Application Function). The Data Collection AF can subsequently process its collected UE data to be offered, as Event Exposure services, to external entities for device, network and service performance monitoring and data analytics purposes.</w:t>
      </w:r>
    </w:p>
    <w:p w14:paraId="0CA1F8EC" w14:textId="56DEC132" w:rsidR="00EF43A6" w:rsidRPr="000D2E94" w:rsidRDefault="00EF43A6" w:rsidP="00EF43A6">
      <w:r>
        <w:t>The system architecture, reference points, and high-level procedures regarding generic UE data collection, reporting and event exposure are described in the stage 2 specification TS 26.531 [</w:t>
      </w:r>
      <w:r w:rsidR="00934324">
        <w:t>1</w:t>
      </w:r>
      <w:r>
        <w:t>]. T</w:t>
      </w:r>
      <w:r w:rsidR="0066353C">
        <w:t>8</w:t>
      </w:r>
      <w:r>
        <w:t>he stage 3 specification TS 26.532 [</w:t>
      </w:r>
      <w:r w:rsidR="00934324">
        <w:t>2</w:t>
      </w:r>
      <w:r>
        <w:t>] defines the detailed procedures and associated APIs for the generic UE data collection and reporting functionality.</w:t>
      </w:r>
    </w:p>
    <w:p w14:paraId="3CD727DD" w14:textId="77777777" w:rsidR="00EF43A6" w:rsidRPr="000D2E94" w:rsidRDefault="00EF43A6" w:rsidP="00EF43A6">
      <w:r w:rsidRPr="000D2E94">
        <w:t>Figure 1 depicts the generic UE data collection, reporting and event exposure architecture.</w:t>
      </w:r>
    </w:p>
    <w:p w14:paraId="2521109E" w14:textId="77777777" w:rsidR="00EF43A6" w:rsidRPr="000D2E94" w:rsidRDefault="00EF43A6" w:rsidP="00EF43A6">
      <w:pPr>
        <w:pStyle w:val="TH"/>
      </w:pPr>
      <w:r w:rsidRPr="000D2E94">
        <w:t xml:space="preserve"> </w:t>
      </w:r>
      <w:r w:rsidRPr="000D2E94">
        <w:rPr>
          <w:noProof/>
        </w:rPr>
        <w:drawing>
          <wp:inline distT="0" distB="0" distL="0" distR="0" wp14:anchorId="4823DAF1" wp14:editId="22932E90">
            <wp:extent cx="3277548" cy="327754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77548" cy="3277548"/>
                    </a:xfrm>
                    <a:prstGeom prst="rect">
                      <a:avLst/>
                    </a:prstGeom>
                    <a:noFill/>
                    <a:ln>
                      <a:noFill/>
                    </a:ln>
                  </pic:spPr>
                </pic:pic>
              </a:graphicData>
            </a:graphic>
          </wp:inline>
        </w:drawing>
      </w:r>
    </w:p>
    <w:p w14:paraId="0087543F" w14:textId="77777777" w:rsidR="00EF43A6" w:rsidRPr="000D2E94" w:rsidRDefault="00EF43A6" w:rsidP="00EF43A6">
      <w:pPr>
        <w:pStyle w:val="TF"/>
      </w:pPr>
      <w:r w:rsidRPr="000D2E94">
        <w:t>Figure 1 – Reference architecture for generic UE data collection, reporting and event exposure</w:t>
      </w:r>
    </w:p>
    <w:p w14:paraId="62B79601" w14:textId="77777777" w:rsidR="00EF43A6" w:rsidRPr="000D2E94" w:rsidRDefault="00EF43A6" w:rsidP="00EF43A6">
      <w:r w:rsidRPr="000D2E94">
        <w:lastRenderedPageBreak/>
        <w:t>The functional entities and reference points pertaining to EVEX in figure 1 are described below:</w:t>
      </w:r>
    </w:p>
    <w:p w14:paraId="38028925" w14:textId="77777777" w:rsidR="00EF43A6" w:rsidRPr="000D2E94" w:rsidRDefault="00EF43A6" w:rsidP="00EF43A6">
      <w:r w:rsidRPr="000D2E94">
        <w:t>-</w:t>
      </w:r>
      <w:r w:rsidRPr="000D2E94">
        <w:tab/>
      </w:r>
      <w:r w:rsidRPr="000D2E94">
        <w:rPr>
          <w:i/>
          <w:iCs/>
        </w:rPr>
        <w:t>Data collection clients</w:t>
      </w:r>
      <w:r w:rsidRPr="000D2E94">
        <w:t xml:space="preserve"> including the Direct Data Collection Client in the UE, Indirect Data Collection Client of the Application Service Provider, and the AS (Application Server, which contains and delivers user plane data to end-user devices). These entities obtain their UE data collection and reporting configuration from, and reports collected UE data to, the Data Collection Client, at the R2, R3 and R4 reference points, respectively.</w:t>
      </w:r>
    </w:p>
    <w:p w14:paraId="54541B25" w14:textId="77777777" w:rsidR="00EF43A6" w:rsidRPr="000D2E94" w:rsidRDefault="00EF43A6" w:rsidP="00EF43A6">
      <w:r w:rsidRPr="000D2E94">
        <w:t>-</w:t>
      </w:r>
      <w:r w:rsidRPr="000D2E94">
        <w:tab/>
      </w:r>
      <w:r w:rsidRPr="000D2E94">
        <w:rPr>
          <w:i/>
          <w:iCs/>
        </w:rPr>
        <w:t xml:space="preserve">Data Collection AF </w:t>
      </w:r>
      <w:r w:rsidRPr="000D2E94">
        <w:t>– This entity is provisioned with its UE data collection, reporting and event exposure configuration by the Provisioning AF of the Application Service Provider at the R1 reference point. It utilizes that information to provide data collection and reporting configuration(s) to relevant data collection clients. Subsequently, the Data Collection AF processes UE data reports received from the data collection client(s) for event exposure services to eligible consumer entities (e.g., the NWDAF and Event Consumer AF of the Application Service Provider, at reference points R5 and R6, respectively) according to its event exposure restriction configuration.</w:t>
      </w:r>
    </w:p>
    <w:p w14:paraId="39A237F4" w14:textId="77777777" w:rsidR="00EF43A6" w:rsidRPr="000D2E94" w:rsidRDefault="00EF43A6" w:rsidP="00EF43A6">
      <w:r w:rsidRPr="000D2E94">
        <w:t>-</w:t>
      </w:r>
      <w:r w:rsidRPr="000D2E94">
        <w:tab/>
      </w:r>
      <w:r w:rsidRPr="000D2E94">
        <w:rPr>
          <w:i/>
          <w:iCs/>
        </w:rPr>
        <w:t>Provisioning AF –</w:t>
      </w:r>
      <w:r w:rsidRPr="000D2E94">
        <w:t xml:space="preserve"> This entity provisions the Data Collection AF with UE data collection, reporting and event exposure information via reference point R1. A portion of that configuration information is intended to be forwarded by the Data Collection AF to data collection clients.</w:t>
      </w:r>
    </w:p>
    <w:p w14:paraId="1F49597E" w14:textId="77777777" w:rsidR="00EF43A6" w:rsidRPr="000D2E94" w:rsidRDefault="00EF43A6" w:rsidP="00EF43A6">
      <w:r w:rsidRPr="000D2E94">
        <w:t>-</w:t>
      </w:r>
      <w:r w:rsidRPr="000D2E94">
        <w:tab/>
      </w:r>
      <w:r w:rsidRPr="000D2E94">
        <w:rPr>
          <w:i/>
          <w:iCs/>
        </w:rPr>
        <w:t>UE Application</w:t>
      </w:r>
      <w:r w:rsidRPr="000D2E94">
        <w:t xml:space="preserve"> – This optional entity in the UE, if instantiated, is responsible for interacting with the Direct Data Collection Client, via reference point R7, to obtain a UE data collection and reporting configuration, and subsequently send collected UE data reports to the Direct Data Collection Client to be in turn reported to the Data Collection AF.</w:t>
      </w:r>
    </w:p>
    <w:p w14:paraId="5BFB060C" w14:textId="77777777" w:rsidR="00EF43A6" w:rsidRPr="000D2E94" w:rsidRDefault="00EF43A6" w:rsidP="00EF43A6">
      <w:r w:rsidRPr="000D2E94">
        <w:t>-</w:t>
      </w:r>
      <w:r w:rsidRPr="000D2E94">
        <w:tab/>
      </w:r>
      <w:r w:rsidRPr="000D2E94">
        <w:rPr>
          <w:i/>
          <w:iCs/>
        </w:rPr>
        <w:t>NEF</w:t>
      </w:r>
      <w:r w:rsidRPr="000D2E94">
        <w:t xml:space="preserve"> – This entity is optionally present to mediate the configuration, reporting and event exposure related interactions between associated pairs of the above-described entities when those reside in separate trust domains.</w:t>
      </w:r>
    </w:p>
    <w:p w14:paraId="066B48B1" w14:textId="585A59A6" w:rsidR="00773B83" w:rsidRDefault="00C3484F" w:rsidP="00F930FA">
      <w:pPr>
        <w:pStyle w:val="Heading2"/>
      </w:pPr>
      <w:r>
        <w:t>3</w:t>
      </w:r>
      <w:r w:rsidR="00F930FA">
        <w:tab/>
      </w:r>
      <w:r w:rsidR="00773B83">
        <w:t>Status in SA</w:t>
      </w:r>
      <w:r w:rsidR="00F930FA">
        <w:t>6</w:t>
      </w:r>
    </w:p>
    <w:p w14:paraId="00DAFDA3" w14:textId="653D9626" w:rsidR="00FE5753" w:rsidRDefault="00376645" w:rsidP="00F74830">
      <w:r>
        <w:t xml:space="preserve">From an SA6 perspective, the following general requirements are needed by the </w:t>
      </w:r>
      <w:r w:rsidR="00EF09AB" w:rsidRPr="008D6092">
        <w:t>Application Service Provider (</w:t>
      </w:r>
      <w:r w:rsidRPr="008D6092">
        <w:t>ASP</w:t>
      </w:r>
      <w:r w:rsidR="00EF09AB" w:rsidRPr="008D6092">
        <w:t>)</w:t>
      </w:r>
      <w:r>
        <w:t xml:space="preserve"> as described </w:t>
      </w:r>
      <w:r w:rsidR="00DE0120">
        <w:t>in the architecture defined in 3GPP TS 26.531</w:t>
      </w:r>
      <w:r w:rsidR="002127DD">
        <w:t xml:space="preserve"> [</w:t>
      </w:r>
      <w:r w:rsidR="00242EF4">
        <w:t>1</w:t>
      </w:r>
      <w:r w:rsidR="002127DD">
        <w:t>]</w:t>
      </w:r>
      <w:r w:rsidR="00A6171D">
        <w:t>:</w:t>
      </w:r>
    </w:p>
    <w:p w14:paraId="3F903AD2" w14:textId="474F07B3" w:rsidR="00A6171D" w:rsidRDefault="008855D6" w:rsidP="008855D6">
      <w:pPr>
        <w:pStyle w:val="B1"/>
      </w:pPr>
      <w:r>
        <w:t>-</w:t>
      </w:r>
      <w:r>
        <w:tab/>
      </w:r>
      <w:r w:rsidR="00A6171D">
        <w:t xml:space="preserve">The ASP </w:t>
      </w:r>
      <w:r w:rsidR="007A0B7F">
        <w:t>shall</w:t>
      </w:r>
      <w:r w:rsidR="00A6171D">
        <w:t xml:space="preserve"> be able to retrieve </w:t>
      </w:r>
      <w:r w:rsidR="00AB680A">
        <w:t>collected</w:t>
      </w:r>
      <w:r w:rsidR="00A6171D">
        <w:t xml:space="preserve"> data from the </w:t>
      </w:r>
      <w:r w:rsidR="00AB680A">
        <w:t xml:space="preserve">UE Application </w:t>
      </w:r>
      <w:r w:rsidR="007A0B7F">
        <w:t>through a request/response mechanism.</w:t>
      </w:r>
    </w:p>
    <w:p w14:paraId="7D7DB393" w14:textId="60E90AAE" w:rsidR="007A0B7F" w:rsidRDefault="008855D6" w:rsidP="008855D6">
      <w:pPr>
        <w:pStyle w:val="B1"/>
      </w:pPr>
      <w:r>
        <w:t>-</w:t>
      </w:r>
      <w:r>
        <w:tab/>
      </w:r>
      <w:r w:rsidR="007A0B7F">
        <w:t>The ASP shall be able retrieve collected data from the UE Application through a subscribe/notify mechanism.</w:t>
      </w:r>
    </w:p>
    <w:p w14:paraId="54D73828" w14:textId="159F3288" w:rsidR="007A0B7F" w:rsidRDefault="008855D6" w:rsidP="008855D6">
      <w:pPr>
        <w:pStyle w:val="B1"/>
      </w:pPr>
      <w:r>
        <w:t>-</w:t>
      </w:r>
      <w:r>
        <w:tab/>
      </w:r>
      <w:r w:rsidR="007A0B7F">
        <w:t xml:space="preserve">The ASP shall be able to configure the </w:t>
      </w:r>
      <w:r w:rsidR="001079C4">
        <w:t>subscription</w:t>
      </w:r>
      <w:r w:rsidR="00013D41">
        <w:t xml:space="preserve"> </w:t>
      </w:r>
      <w:r w:rsidR="000133E9">
        <w:t xml:space="preserve">for the UE Application </w:t>
      </w:r>
      <w:r w:rsidR="001079C4">
        <w:t xml:space="preserve">including the </w:t>
      </w:r>
      <w:r w:rsidR="00667381">
        <w:t>specific</w:t>
      </w:r>
      <w:r w:rsidR="00B928B7">
        <w:t xml:space="preserve"> </w:t>
      </w:r>
      <w:r w:rsidR="00667381">
        <w:t>information to be reported</w:t>
      </w:r>
      <w:r w:rsidR="00681DCF">
        <w:t xml:space="preserve">, </w:t>
      </w:r>
      <w:r w:rsidR="00667381">
        <w:t>the triggering criteria</w:t>
      </w:r>
      <w:r w:rsidR="00681DCF">
        <w:t xml:space="preserve"> and reporting configuration</w:t>
      </w:r>
      <w:r w:rsidR="000133E9">
        <w:t>.</w:t>
      </w:r>
    </w:p>
    <w:p w14:paraId="32273578" w14:textId="49F21CC0" w:rsidR="00BB4DDF" w:rsidRDefault="00BB4DDF" w:rsidP="00F74830">
      <w:r>
        <w:t>When translating the above requirements</w:t>
      </w:r>
      <w:r w:rsidR="00147DAE">
        <w:t xml:space="preserve"> into functionality required </w:t>
      </w:r>
      <w:r w:rsidR="004A2B3E" w:rsidRPr="008D6092">
        <w:t>from</w:t>
      </w:r>
      <w:r w:rsidR="004A2B3E">
        <w:t xml:space="preserve"> </w:t>
      </w:r>
      <w:r w:rsidR="00147DAE">
        <w:t xml:space="preserve">the </w:t>
      </w:r>
      <w:r w:rsidR="00DD0457">
        <w:t>Data Collection Application Function (</w:t>
      </w:r>
      <w:r w:rsidR="00147DAE">
        <w:t>DCAF</w:t>
      </w:r>
      <w:r w:rsidR="00DD0457">
        <w:t>)</w:t>
      </w:r>
      <w:r w:rsidR="00147DAE">
        <w:t xml:space="preserve"> and </w:t>
      </w:r>
      <w:r w:rsidR="00DD0457">
        <w:t>Direct Data Collection Client (</w:t>
      </w:r>
      <w:r w:rsidR="00147DAE" w:rsidRPr="008D6092">
        <w:t>DDC</w:t>
      </w:r>
      <w:r w:rsidR="00C75C6B" w:rsidRPr="008D6092">
        <w:t>C</w:t>
      </w:r>
      <w:r w:rsidR="00DD0457">
        <w:t>)</w:t>
      </w:r>
      <w:r w:rsidR="006B34EC">
        <w:t xml:space="preserve">, </w:t>
      </w:r>
      <w:r w:rsidR="003E5700">
        <w:t xml:space="preserve">assuming that the ASP is independent from the DCAF and that the UE Application is independent from the </w:t>
      </w:r>
      <w:r w:rsidR="003E5700" w:rsidRPr="008D6092">
        <w:t>DDC</w:t>
      </w:r>
      <w:r w:rsidR="00C75C6B" w:rsidRPr="008D6092">
        <w:t>C</w:t>
      </w:r>
      <w:r w:rsidR="00147DAE">
        <w:t>, they can be represented as follows:</w:t>
      </w:r>
    </w:p>
    <w:p w14:paraId="36A817B5" w14:textId="630A4183" w:rsidR="00147DAE" w:rsidRDefault="008855D6" w:rsidP="008855D6">
      <w:pPr>
        <w:pStyle w:val="B1"/>
      </w:pPr>
      <w:r>
        <w:t>-</w:t>
      </w:r>
      <w:r>
        <w:tab/>
      </w:r>
      <w:r w:rsidR="00147DAE">
        <w:t>The DCAF shall be able to retrieve collected data from the DD</w:t>
      </w:r>
      <w:r w:rsidR="003A6DB2">
        <w:t>C</w:t>
      </w:r>
      <w:r w:rsidR="00147DAE">
        <w:t>C through a request/response mechanism</w:t>
      </w:r>
      <w:r w:rsidR="00A20CFA">
        <w:t xml:space="preserve"> based upon a request by an ASP</w:t>
      </w:r>
      <w:r w:rsidR="00147DAE">
        <w:t>.</w:t>
      </w:r>
    </w:p>
    <w:p w14:paraId="69A25BC9" w14:textId="350DB250" w:rsidR="00147DAE" w:rsidRDefault="008855D6" w:rsidP="008855D6">
      <w:pPr>
        <w:pStyle w:val="B1"/>
      </w:pPr>
      <w:r>
        <w:t>-</w:t>
      </w:r>
      <w:r>
        <w:tab/>
      </w:r>
      <w:r w:rsidR="00147DAE">
        <w:t>The DCAF shall be able retrieve collected data from the DDC</w:t>
      </w:r>
      <w:r w:rsidR="003A6DB2">
        <w:t>C</w:t>
      </w:r>
      <w:r w:rsidR="00147DAE">
        <w:t xml:space="preserve"> through a subscribe/notify mechanism</w:t>
      </w:r>
      <w:r w:rsidR="00A20CFA">
        <w:t xml:space="preserve"> based upon a request by an ASP</w:t>
      </w:r>
      <w:r w:rsidR="00147DAE">
        <w:t>.</w:t>
      </w:r>
    </w:p>
    <w:p w14:paraId="14A8107A" w14:textId="34CAD4FB" w:rsidR="00147DAE" w:rsidRDefault="008855D6" w:rsidP="008855D6">
      <w:pPr>
        <w:pStyle w:val="B1"/>
      </w:pPr>
      <w:r>
        <w:t>-</w:t>
      </w:r>
      <w:r>
        <w:tab/>
      </w:r>
      <w:r w:rsidR="00147DAE">
        <w:t>The DCAF shall be able to configure the subscription for the DDC</w:t>
      </w:r>
      <w:r w:rsidR="003A6DB2">
        <w:t>C</w:t>
      </w:r>
      <w:r w:rsidR="00147DAE">
        <w:t xml:space="preserve"> including the specific information to be reported</w:t>
      </w:r>
      <w:r w:rsidR="00681DCF">
        <w:t>, the triggering criteria and reporting configuration</w:t>
      </w:r>
      <w:r w:rsidR="00717FF9">
        <w:t>,</w:t>
      </w:r>
      <w:r w:rsidR="00147DAE">
        <w:t xml:space="preserve"> based upon </w:t>
      </w:r>
      <w:r w:rsidR="00A20CFA">
        <w:t>a request from an ASP</w:t>
      </w:r>
      <w:r w:rsidR="00147DAE">
        <w:t>.</w:t>
      </w:r>
    </w:p>
    <w:p w14:paraId="2653DFFB" w14:textId="55B11B63" w:rsidR="00147DAE" w:rsidRDefault="004A2B3E" w:rsidP="00B66692">
      <w:r w:rsidRPr="008D6092">
        <w:t>During SA6#52-bis-e, SA6 discussed</w:t>
      </w:r>
      <w:r w:rsidR="00BC68A0">
        <w:t xml:space="preserve"> a proposed pCR to the </w:t>
      </w:r>
      <w:r w:rsidR="00726157">
        <w:t>Application Data Analytics Enablement Services (</w:t>
      </w:r>
      <w:r w:rsidR="00BC68A0">
        <w:t>ADAES</w:t>
      </w:r>
      <w:r w:rsidR="00726157">
        <w:t xml:space="preserve">) </w:t>
      </w:r>
      <w:r w:rsidR="00BC68A0">
        <w:t xml:space="preserve"> </w:t>
      </w:r>
      <w:r w:rsidR="00E47FC4">
        <w:t xml:space="preserve">specification (3GPP TS </w:t>
      </w:r>
      <w:r w:rsidR="00E47FC4" w:rsidRPr="008D6092">
        <w:t>23.4</w:t>
      </w:r>
      <w:r w:rsidR="00EF09AB" w:rsidRPr="008D6092">
        <w:t>3</w:t>
      </w:r>
      <w:r w:rsidR="00E47FC4" w:rsidRPr="008D6092">
        <w:t>6</w:t>
      </w:r>
      <w:r w:rsidR="002127DD">
        <w:t xml:space="preserve"> [</w:t>
      </w:r>
      <w:r w:rsidR="008966AE">
        <w:t>3</w:t>
      </w:r>
      <w:r w:rsidR="002127DD">
        <w:t>]</w:t>
      </w:r>
      <w:r w:rsidR="00E47FC4">
        <w:t xml:space="preserve">) for both request/response and subscribe/notify mechanisms </w:t>
      </w:r>
      <w:r w:rsidR="00DB6626">
        <w:t xml:space="preserve">(including reporting configuration) </w:t>
      </w:r>
      <w:r w:rsidR="00E47FC4">
        <w:t xml:space="preserve">between the ADAE server (ASP) and the </w:t>
      </w:r>
      <w:r w:rsidR="00B52BCB">
        <w:t>ADAE client (</w:t>
      </w:r>
      <w:r w:rsidR="00E47FC4">
        <w:t>UE Application</w:t>
      </w:r>
      <w:r w:rsidR="00B52BCB">
        <w:t>)</w:t>
      </w:r>
      <w:r w:rsidR="00E47FC4">
        <w:t xml:space="preserve"> that </w:t>
      </w:r>
      <w:r w:rsidR="00575DBD">
        <w:t>may</w:t>
      </w:r>
      <w:r w:rsidR="00E47FC4">
        <w:t xml:space="preserve"> result in duplication of the above requ</w:t>
      </w:r>
      <w:r w:rsidR="00575DBD">
        <w:t>irement</w:t>
      </w:r>
      <w:r w:rsidR="00B66692">
        <w:t>s</w:t>
      </w:r>
      <w:r w:rsidR="00575DBD">
        <w:t xml:space="preserve"> both in the layer </w:t>
      </w:r>
      <w:r w:rsidR="00B74FB9">
        <w:t>defined in TS 26.531</w:t>
      </w:r>
      <w:r w:rsidR="002127DD">
        <w:t xml:space="preserve"> [2]</w:t>
      </w:r>
      <w:r w:rsidR="00B74FB9">
        <w:t xml:space="preserve"> </w:t>
      </w:r>
      <w:r w:rsidR="00575DBD">
        <w:t xml:space="preserve">and </w:t>
      </w:r>
      <w:r w:rsidR="00DF7E79">
        <w:t xml:space="preserve">in the </w:t>
      </w:r>
      <w:r w:rsidR="00575DBD">
        <w:t>ADAE layer.</w:t>
      </w:r>
    </w:p>
    <w:p w14:paraId="6F06777B" w14:textId="77777777" w:rsidR="00F34F2C" w:rsidRDefault="00F34F2C" w:rsidP="00F34F2C">
      <w:r>
        <w:t>SA6 has had significant discussions related to the reuse of the procedures for data collection from the UE Application defined in TS 23.288, TS 26.512 and TS 26.531 in the context of the Application Data Analytics Enablement Services (ADAES) and application service management in eSEAL2 work items in order to avoid duplication of effort for SA4 and SA6.</w:t>
      </w:r>
    </w:p>
    <w:p w14:paraId="0570CB3D" w14:textId="2B9459FA" w:rsidR="005946C6" w:rsidRDefault="00F34F2C" w:rsidP="005946C6">
      <w:r>
        <w:t>SA6 also sent an LS to SA4 in S6-23</w:t>
      </w:r>
      <w:r w:rsidR="000E6C9F">
        <w:t>1059 [</w:t>
      </w:r>
      <w:r w:rsidR="00956C88">
        <w:t>7</w:t>
      </w:r>
      <w:r w:rsidR="003E3B8B">
        <w:t>]</w:t>
      </w:r>
      <w:r w:rsidR="0099505E">
        <w:t xml:space="preserve"> (Note: SA2 is not copied in this LS)</w:t>
      </w:r>
      <w:r w:rsidR="003E3B8B">
        <w:t xml:space="preserve">, </w:t>
      </w:r>
      <w:r w:rsidR="005946C6">
        <w:t>related to the reuse of the procedures for data collection from the UE Application in the context of the Application Data Analytics Enablement Services (ADAES) and application service management in eSEAL2 work items in order to avoid duplication of effort for SA4 and SA6.</w:t>
      </w:r>
    </w:p>
    <w:p w14:paraId="5331A279" w14:textId="23A922DB" w:rsidR="005946C6" w:rsidRPr="0054729C" w:rsidRDefault="0054729C" w:rsidP="005946C6">
      <w:pPr>
        <w:rPr>
          <w:i/>
          <w:iCs/>
        </w:rPr>
      </w:pPr>
      <w:r>
        <w:rPr>
          <w:i/>
          <w:iCs/>
        </w:rPr>
        <w:lastRenderedPageBreak/>
        <w:t>“</w:t>
      </w:r>
      <w:r w:rsidR="005946C6" w:rsidRPr="0054729C">
        <w:rPr>
          <w:i/>
          <w:iCs/>
        </w:rPr>
        <w:t>From an SA6 perspective, the following general requirements are needed by the Application Service Provider (ASP) as described in the architecture defined in 3GPP TS 26.531:</w:t>
      </w:r>
    </w:p>
    <w:p w14:paraId="3232E874" w14:textId="77777777" w:rsidR="005946C6" w:rsidRPr="0054729C" w:rsidRDefault="005946C6" w:rsidP="005946C6">
      <w:pPr>
        <w:pStyle w:val="B1"/>
        <w:rPr>
          <w:i/>
          <w:iCs/>
        </w:rPr>
      </w:pPr>
      <w:r w:rsidRPr="0054729C">
        <w:rPr>
          <w:i/>
          <w:iCs/>
        </w:rPr>
        <w:t>-</w:t>
      </w:r>
      <w:r w:rsidRPr="0054729C">
        <w:rPr>
          <w:i/>
          <w:iCs/>
        </w:rPr>
        <w:tab/>
        <w:t>The ASP shall be able to retrieve/pull collected data on-demand (i.e. without need for setting up session) from the UE Application through a request/response mechanism.</w:t>
      </w:r>
    </w:p>
    <w:p w14:paraId="660C8494" w14:textId="77777777" w:rsidR="005946C6" w:rsidRPr="0054729C" w:rsidRDefault="005946C6" w:rsidP="005946C6">
      <w:pPr>
        <w:pStyle w:val="B1"/>
        <w:rPr>
          <w:i/>
          <w:iCs/>
        </w:rPr>
      </w:pPr>
      <w:r w:rsidRPr="0054729C">
        <w:rPr>
          <w:i/>
          <w:iCs/>
        </w:rPr>
        <w:t>-</w:t>
      </w:r>
      <w:r w:rsidRPr="0054729C">
        <w:rPr>
          <w:i/>
          <w:iCs/>
        </w:rPr>
        <w:tab/>
        <w:t>The UE Application shall be able to send/push collected data on-demand (i.e. without need for setting up session) to ASP through a request/response mechanism.</w:t>
      </w:r>
    </w:p>
    <w:p w14:paraId="094704D3" w14:textId="77777777" w:rsidR="005946C6" w:rsidRPr="0054729C" w:rsidRDefault="005946C6" w:rsidP="005946C6">
      <w:pPr>
        <w:pStyle w:val="B1"/>
        <w:rPr>
          <w:i/>
          <w:iCs/>
        </w:rPr>
      </w:pPr>
      <w:r w:rsidRPr="0054729C">
        <w:rPr>
          <w:i/>
          <w:iCs/>
        </w:rPr>
        <w:t>-</w:t>
      </w:r>
      <w:r w:rsidRPr="0054729C">
        <w:rPr>
          <w:i/>
          <w:iCs/>
        </w:rPr>
        <w:tab/>
        <w:t>The ASP shall be able retrieve collected data from the UE Application through a subscribe/notify mechanism.</w:t>
      </w:r>
    </w:p>
    <w:p w14:paraId="0490CB14" w14:textId="77777777" w:rsidR="005946C6" w:rsidRPr="0054729C" w:rsidRDefault="005946C6" w:rsidP="005946C6">
      <w:pPr>
        <w:pStyle w:val="B1"/>
        <w:rPr>
          <w:i/>
          <w:iCs/>
        </w:rPr>
      </w:pPr>
      <w:r w:rsidRPr="0054729C">
        <w:rPr>
          <w:i/>
          <w:iCs/>
        </w:rPr>
        <w:t>-</w:t>
      </w:r>
      <w:r w:rsidRPr="0054729C">
        <w:rPr>
          <w:i/>
          <w:iCs/>
        </w:rPr>
        <w:tab/>
        <w:t>The ASP shall be able to configure the subscription for the UE Application including the specific information to be reported, the triggering criteria and reporting configuration.</w:t>
      </w:r>
    </w:p>
    <w:p w14:paraId="41CB6920" w14:textId="77777777" w:rsidR="005946C6" w:rsidRPr="0054729C" w:rsidRDefault="005946C6" w:rsidP="005946C6">
      <w:pPr>
        <w:rPr>
          <w:i/>
          <w:iCs/>
        </w:rPr>
      </w:pPr>
      <w:r w:rsidRPr="0054729C">
        <w:rPr>
          <w:i/>
          <w:iCs/>
        </w:rPr>
        <w:t>SA6 would like to request that SA4 provide feedback on the above discussion and an evaluation of whether the existing data collection from the UE Application capability supports these requirements.</w:t>
      </w:r>
    </w:p>
    <w:p w14:paraId="338CC692" w14:textId="443C5897" w:rsidR="005946C6" w:rsidRPr="0054729C" w:rsidRDefault="005946C6" w:rsidP="005946C6">
      <w:pPr>
        <w:rPr>
          <w:i/>
          <w:iCs/>
        </w:rPr>
      </w:pPr>
      <w:r w:rsidRPr="0054729C">
        <w:rPr>
          <w:i/>
          <w:iCs/>
        </w:rPr>
        <w:t xml:space="preserve">SA6 </w:t>
      </w:r>
      <w:r w:rsidR="00DF2A49" w:rsidRPr="0054729C">
        <w:rPr>
          <w:i/>
          <w:iCs/>
        </w:rPr>
        <w:t>is asking</w:t>
      </w:r>
      <w:r w:rsidRPr="0054729C">
        <w:rPr>
          <w:i/>
          <w:iCs/>
        </w:rPr>
        <w:t xml:space="preserve"> SA4 provide a response as to whether SA4 are intending to address any enhancements necessary to support these requirements in Rel-18.</w:t>
      </w:r>
      <w:r w:rsidR="0054729C">
        <w:rPr>
          <w:i/>
          <w:iCs/>
        </w:rPr>
        <w:t>”</w:t>
      </w:r>
    </w:p>
    <w:p w14:paraId="5F89A786" w14:textId="181C12A0" w:rsidR="00F930FA" w:rsidRDefault="00C3484F" w:rsidP="00F930FA">
      <w:pPr>
        <w:pStyle w:val="Heading2"/>
      </w:pPr>
      <w:r>
        <w:t>4</w:t>
      </w:r>
      <w:r w:rsidR="00F930FA">
        <w:tab/>
        <w:t>Status in SA2</w:t>
      </w:r>
    </w:p>
    <w:p w14:paraId="1B3099CA" w14:textId="21455800" w:rsidR="002416DF" w:rsidRDefault="002416DF" w:rsidP="00B66692">
      <w:r>
        <w:t xml:space="preserve">SA2 agreed in rel.17 to reuse the EVEX architecture mentioned in </w:t>
      </w:r>
      <w:r w:rsidR="00C3484F">
        <w:t>clause 2 and is now referenced in TS 23.288 [</w:t>
      </w:r>
      <w:r w:rsidR="00956C88">
        <w:t>5</w:t>
      </w:r>
      <w:r w:rsidR="002955AC">
        <w:t>].</w:t>
      </w:r>
    </w:p>
    <w:p w14:paraId="7B033AFA" w14:textId="2A1EEFCE" w:rsidR="00B66692" w:rsidRDefault="002416DF" w:rsidP="00B66692">
      <w:r>
        <w:t>In rel.18</w:t>
      </w:r>
      <w:r w:rsidR="002955AC">
        <w:t xml:space="preserve"> in the context of AI/ML study</w:t>
      </w:r>
      <w:r>
        <w:t xml:space="preserve"> there</w:t>
      </w:r>
      <w:r w:rsidR="006516C4">
        <w:t xml:space="preserve"> were </w:t>
      </w:r>
      <w:r w:rsidR="00C524F2">
        <w:t>questions from SA2 to SA4</w:t>
      </w:r>
      <w:r w:rsidR="00011246">
        <w:t xml:space="preserve"> (</w:t>
      </w:r>
      <w:r w:rsidR="00B85D67">
        <w:t xml:space="preserve">see </w:t>
      </w:r>
      <w:r w:rsidR="00F36925">
        <w:t>S2-2205287</w:t>
      </w:r>
      <w:r w:rsidR="006516C4">
        <w:t xml:space="preserve"> </w:t>
      </w:r>
      <w:r w:rsidR="00B85D67">
        <w:t>[</w:t>
      </w:r>
      <w:r w:rsidR="00956C88">
        <w:t>6</w:t>
      </w:r>
      <w:r w:rsidR="00B85D67">
        <w:t xml:space="preserve">] </w:t>
      </w:r>
      <w:r w:rsidR="006516C4">
        <w:t xml:space="preserve">on the </w:t>
      </w:r>
      <w:r w:rsidR="001C1F70">
        <w:t>possibility</w:t>
      </w:r>
      <w:r w:rsidR="006516C4">
        <w:t xml:space="preserve"> to </w:t>
      </w:r>
      <w:r w:rsidR="0090400E">
        <w:t xml:space="preserve">enhance </w:t>
      </w:r>
      <w:r w:rsidR="0034124F">
        <w:t xml:space="preserve">the framework for </w:t>
      </w:r>
      <w:r w:rsidR="0034124F" w:rsidRPr="00023BC2">
        <w:t>data collection from the UE Application</w:t>
      </w:r>
      <w:r w:rsidR="0034124F">
        <w:t xml:space="preserve"> </w:t>
      </w:r>
      <w:r w:rsidR="0090400E">
        <w:t xml:space="preserve">to include the ability for the UE to request the transfer </w:t>
      </w:r>
      <w:r w:rsidR="00D02826">
        <w:t>o</w:t>
      </w:r>
      <w:r w:rsidR="0090400E">
        <w:t xml:space="preserve">f collected data from the </w:t>
      </w:r>
      <w:r w:rsidR="00C9622E">
        <w:t xml:space="preserve">network </w:t>
      </w:r>
      <w:r w:rsidR="0090400E">
        <w:t xml:space="preserve">to the UE. If that </w:t>
      </w:r>
      <w:r w:rsidR="001554D5">
        <w:t>i</w:t>
      </w:r>
      <w:r w:rsidR="0090400E">
        <w:t>s still required</w:t>
      </w:r>
      <w:r w:rsidR="002955AC">
        <w:t xml:space="preserve"> in rel.19</w:t>
      </w:r>
      <w:r w:rsidR="0090400E">
        <w:t>, that could result in the following requirements:</w:t>
      </w:r>
    </w:p>
    <w:p w14:paraId="4DB9C2F3" w14:textId="46E34B87" w:rsidR="0090400E" w:rsidRDefault="008855D6" w:rsidP="008855D6">
      <w:pPr>
        <w:pStyle w:val="B1"/>
      </w:pPr>
      <w:r>
        <w:t>-</w:t>
      </w:r>
      <w:r>
        <w:tab/>
      </w:r>
      <w:r w:rsidR="0090400E">
        <w:t>The UE Application shall be able to retrieve collected data from the ASP through a request/response mechanism.</w:t>
      </w:r>
    </w:p>
    <w:p w14:paraId="6A78B3ED" w14:textId="5FDEF607" w:rsidR="0090400E" w:rsidRDefault="008855D6" w:rsidP="008855D6">
      <w:pPr>
        <w:pStyle w:val="B1"/>
      </w:pPr>
      <w:r>
        <w:t>-</w:t>
      </w:r>
      <w:r>
        <w:tab/>
      </w:r>
      <w:r w:rsidR="0090400E">
        <w:t>The UE Application shall be able retrieve collected data from the ASP through a subscribe/notify mechanism.</w:t>
      </w:r>
    </w:p>
    <w:p w14:paraId="339B6829" w14:textId="444714D0" w:rsidR="0090400E" w:rsidRDefault="008855D6" w:rsidP="008855D6">
      <w:pPr>
        <w:pStyle w:val="B1"/>
      </w:pPr>
      <w:r>
        <w:t>-</w:t>
      </w:r>
      <w:r>
        <w:tab/>
      </w:r>
      <w:r w:rsidR="0090400E">
        <w:t>The UE Application shall be able to configure the subscription for the ASP including the specific information to be reported</w:t>
      </w:r>
      <w:r w:rsidR="00717FF9">
        <w:t>, the triggering criteria and reporting configuration</w:t>
      </w:r>
      <w:r w:rsidR="0090400E">
        <w:t>.</w:t>
      </w:r>
    </w:p>
    <w:p w14:paraId="119E0ABE" w14:textId="254946A0" w:rsidR="0090400E" w:rsidRDefault="00292FF6" w:rsidP="00292FF6">
      <w:pPr>
        <w:pStyle w:val="B1"/>
        <w:ind w:left="0" w:firstLine="0"/>
      </w:pPr>
      <w:r>
        <w:t>In this LS</w:t>
      </w:r>
      <w:r w:rsidR="00FF2AAD">
        <w:t xml:space="preserve"> of SA2</w:t>
      </w:r>
      <w:r>
        <w:t xml:space="preserve"> </w:t>
      </w:r>
      <w:r w:rsidR="00376FF8">
        <w:t>SA4 replied in S2-22</w:t>
      </w:r>
      <w:r w:rsidR="006322A4">
        <w:t>0</w:t>
      </w:r>
      <w:r w:rsidR="00376FF8">
        <w:t xml:space="preserve">8109 </w:t>
      </w:r>
      <w:r w:rsidR="006322A4">
        <w:t>[10]:</w:t>
      </w:r>
    </w:p>
    <w:p w14:paraId="71E7E766" w14:textId="76C3F6BB" w:rsidR="00376FF8" w:rsidRPr="0099505E" w:rsidRDefault="00376FF8" w:rsidP="00376FF8">
      <w:pPr>
        <w:rPr>
          <w:i/>
          <w:iCs/>
        </w:rPr>
      </w:pPr>
      <w:r>
        <w:t>“</w:t>
      </w:r>
      <w:r w:rsidRPr="0099505E">
        <w:rPr>
          <w:i/>
          <w:iCs/>
        </w:rPr>
        <w:t>The main purpose of the generic event exposure framework defined in TS 26.531 and TS 26.532 is to enable re-use of the framework by different instantiations. However, the current scope of the framework and the DCAF is limited to collect data from the UE (and possibly some other network nodes), and to deliver aggregations of the data to subscribers such as NWDAF.</w:t>
      </w:r>
    </w:p>
    <w:p w14:paraId="68A51AC7" w14:textId="77777777" w:rsidR="00376FF8" w:rsidRPr="0099505E" w:rsidRDefault="00376FF8" w:rsidP="00376FF8">
      <w:pPr>
        <w:rPr>
          <w:i/>
          <w:iCs/>
        </w:rPr>
      </w:pPr>
      <w:r w:rsidRPr="0099505E">
        <w:rPr>
          <w:i/>
          <w:iCs/>
        </w:rPr>
        <w:t>SA4 is in principle positive to any relevant re-use of TS 26.531 and TS 26.532. However, while it could be possible to extend the framework to also handle information exchange in the other direction, SA4 has no current plans for such an extension. Also, would such an extension later be implemented, SA4 believes that the DCAF as such should not be extended, but rather a new entity (for example, a "Data Analytics AF") might instead be added to the framework.</w:t>
      </w:r>
    </w:p>
    <w:p w14:paraId="210145B2" w14:textId="2870933E" w:rsidR="00376FF8" w:rsidRPr="0099505E" w:rsidRDefault="00376FF8" w:rsidP="00376FF8">
      <w:pPr>
        <w:rPr>
          <w:i/>
          <w:iCs/>
        </w:rPr>
      </w:pPr>
      <w:r w:rsidRPr="0099505E">
        <w:rPr>
          <w:i/>
          <w:iCs/>
        </w:rPr>
        <w:t>SA4 kindly asks SA2 to take the above information into account, and to keep SA4 informed about any normative work plans requiring extensions of TS 26.531 or TS 26.532.”</w:t>
      </w:r>
    </w:p>
    <w:p w14:paraId="3C2EBFAE" w14:textId="0727371A" w:rsidR="00376FF8" w:rsidRDefault="00376FF8" w:rsidP="00376FF8">
      <w:r>
        <w:t>And S2-22</w:t>
      </w:r>
      <w:r w:rsidR="006322A4">
        <w:t>08156 [11]:</w:t>
      </w:r>
    </w:p>
    <w:p w14:paraId="5DEC6D4B" w14:textId="7CD30950" w:rsidR="006322A4" w:rsidRPr="00DE021C" w:rsidRDefault="006322A4" w:rsidP="006322A4">
      <w:pPr>
        <w:rPr>
          <w:color w:val="C00000"/>
        </w:rPr>
      </w:pPr>
      <w:r>
        <w:t>“</w:t>
      </w:r>
      <w:r w:rsidRPr="0099505E">
        <w:rPr>
          <w:i/>
          <w:iCs/>
        </w:rPr>
        <w:t>We regard the additional functionality being considered and potentially requested by SA2 to be performed by SA4 (delivery of analytics or AI/ML data from the network side to UEs) as exactly opposite to the intended role of the DCAF. Therefore, SA4 would not be in favor of extending the DCAF functionality, and would suggest that SA2 define any new required network entity, and its functionality and procedures.”</w:t>
      </w:r>
    </w:p>
    <w:p w14:paraId="4F72BE90" w14:textId="1871B057" w:rsidR="00A13DBA" w:rsidRDefault="00C6003A" w:rsidP="00A13DBA">
      <w:pPr>
        <w:pStyle w:val="Heading2"/>
      </w:pPr>
      <w:r>
        <w:t>5</w:t>
      </w:r>
      <w:r w:rsidR="00A13DBA">
        <w:tab/>
        <w:t>Need for overall coordination</w:t>
      </w:r>
    </w:p>
    <w:p w14:paraId="75DCBBB3" w14:textId="16C2D41B" w:rsidR="00A13DBA" w:rsidRDefault="005F1CA7" w:rsidP="00B66692">
      <w:r>
        <w:t xml:space="preserve">In general we should aim at reusing functionalities that have been </w:t>
      </w:r>
      <w:r w:rsidR="00626F33">
        <w:t>develop</w:t>
      </w:r>
      <w:r w:rsidR="00E8257F">
        <w:t>ed</w:t>
      </w:r>
      <w:r w:rsidR="00626F33">
        <w:t xml:space="preserve"> in 3GPP and specifically in TSG SA. </w:t>
      </w:r>
      <w:r w:rsidR="00002C1F">
        <w:t xml:space="preserve">The topic of data collection and sharing of information between UE and 5GC in expansive </w:t>
      </w:r>
      <w:r w:rsidR="00B11704">
        <w:t xml:space="preserve">definition is not going to go away anytime soon. </w:t>
      </w:r>
    </w:p>
    <w:p w14:paraId="52F05698" w14:textId="76E04682" w:rsidR="00B11704" w:rsidRDefault="00B11704" w:rsidP="00B66692">
      <w:r>
        <w:t>Considering the above</w:t>
      </w:r>
      <w:r w:rsidR="006474C6">
        <w:t xml:space="preserve">, we suggest </w:t>
      </w:r>
      <w:r w:rsidR="54793475">
        <w:t>a discussion of</w:t>
      </w:r>
      <w:r w:rsidR="006474C6">
        <w:t xml:space="preserve"> the following aspects in SA#99: </w:t>
      </w:r>
    </w:p>
    <w:p w14:paraId="0B30B86F" w14:textId="7F276130" w:rsidR="004C4EDB" w:rsidRDefault="004C4EDB" w:rsidP="0014643D">
      <w:pPr>
        <w:pStyle w:val="B1"/>
      </w:pPr>
      <w:r>
        <w:lastRenderedPageBreak/>
        <w:t xml:space="preserve">- how to best </w:t>
      </w:r>
      <w:r w:rsidR="00C62C72">
        <w:t xml:space="preserve">create </w:t>
      </w:r>
      <w:r w:rsidR="3A59E48E">
        <w:t xml:space="preserve">a </w:t>
      </w:r>
      <w:r w:rsidR="00C62C72">
        <w:t>common framework for</w:t>
      </w:r>
      <w:r>
        <w:t xml:space="preserve"> data collection and </w:t>
      </w:r>
      <w:r w:rsidR="00112C17">
        <w:t xml:space="preserve">sharing information between UE and 5GC </w:t>
      </w:r>
      <w:r w:rsidR="007B174E">
        <w:t xml:space="preserve">architecture for all purposes needed across SA WGs? </w:t>
      </w:r>
    </w:p>
    <w:p w14:paraId="13D4C9F9" w14:textId="066C45A8" w:rsidR="006474C6" w:rsidRDefault="006474C6" w:rsidP="0014643D">
      <w:pPr>
        <w:pStyle w:val="B1"/>
      </w:pPr>
      <w:r>
        <w:t xml:space="preserve">- is EVEX framework as is defined </w:t>
      </w:r>
      <w:r w:rsidR="007B174E">
        <w:t xml:space="preserve">in SA4 </w:t>
      </w:r>
      <w:r w:rsidR="005329AE">
        <w:t>in rel.17 and adopted in SA2 in TS 23.288 [</w:t>
      </w:r>
      <w:r w:rsidR="00D94520">
        <w:t xml:space="preserve">X6] in rel.17 appropriate to be re-used? </w:t>
      </w:r>
    </w:p>
    <w:p w14:paraId="0D39B6D7" w14:textId="176E4DFE" w:rsidR="005B2725" w:rsidRDefault="00D94520" w:rsidP="0014643D">
      <w:pPr>
        <w:pStyle w:val="B1"/>
      </w:pPr>
      <w:r>
        <w:t xml:space="preserve">- </w:t>
      </w:r>
      <w:r w:rsidR="00C62C72">
        <w:t xml:space="preserve">if </w:t>
      </w:r>
      <w:r w:rsidR="009A042C">
        <w:t xml:space="preserve">EVEX is appropriate to be re-used is SA4 best suited to maintain the specifications </w:t>
      </w:r>
      <w:r w:rsidR="005B2725">
        <w:t>for the general architecture and fulfil any changes necessary e.g. for new use case</w:t>
      </w:r>
      <w:r w:rsidR="00955B07">
        <w:t xml:space="preserve"> in rel.19 and future? </w:t>
      </w:r>
    </w:p>
    <w:p w14:paraId="5413F746" w14:textId="695BD073" w:rsidR="00D36D1C" w:rsidRDefault="00F930FA" w:rsidP="00F930FA">
      <w:r>
        <w:t xml:space="preserve">From the </w:t>
      </w:r>
      <w:r w:rsidR="000E1979">
        <w:t>perspective of the authors</w:t>
      </w:r>
      <w:r>
        <w:t>, some data elements to be collected should be specified by EVEX as they are common regardless of the application. However</w:t>
      </w:r>
      <w:r w:rsidR="02EE1C42">
        <w:t>,</w:t>
      </w:r>
      <w:r w:rsidR="00CC257F">
        <w:t xml:space="preserve"> expecting SA4 to do changes in the </w:t>
      </w:r>
      <w:r>
        <w:t xml:space="preserve">framework for data collection from the UE Application </w:t>
      </w:r>
      <w:r w:rsidR="00090D30">
        <w:t>could no</w:t>
      </w:r>
      <w:r w:rsidR="00D33F9E">
        <w:t xml:space="preserve"> longer</w:t>
      </w:r>
      <w:r w:rsidR="00090D30">
        <w:t xml:space="preserve"> </w:t>
      </w:r>
      <w:r w:rsidR="00D33F9E">
        <w:t>be</w:t>
      </w:r>
      <w:r w:rsidR="00090D30">
        <w:t xml:space="preserve"> scalable moving forward. </w:t>
      </w:r>
      <w:r w:rsidR="002125A9">
        <w:t>It is also possible to benefit from</w:t>
      </w:r>
      <w:r>
        <w:t xml:space="preserve"> reuse and extensibility by the application layer through the ability to define additional application specific data to be collected</w:t>
      </w:r>
      <w:r w:rsidR="000E1979">
        <w:t xml:space="preserve"> and </w:t>
      </w:r>
      <w:r w:rsidR="002125A9">
        <w:t xml:space="preserve">therefore we believe that the overall architecture </w:t>
      </w:r>
      <w:r w:rsidR="000E1979">
        <w:t xml:space="preserve">is better maintained </w:t>
      </w:r>
      <w:r w:rsidR="00C6003A">
        <w:t>by SA2</w:t>
      </w:r>
      <w:r>
        <w:t>.</w:t>
      </w:r>
      <w:r w:rsidR="005033FF">
        <w:t xml:space="preserve"> </w:t>
      </w:r>
    </w:p>
    <w:p w14:paraId="0D9A3D72" w14:textId="3110297A" w:rsidR="00F930FA" w:rsidRDefault="00D36D1C" w:rsidP="00F930FA">
      <w:r>
        <w:t>W</w:t>
      </w:r>
      <w:r w:rsidR="005033FF">
        <w:t xml:space="preserve">e are though open to discuss this topic further </w:t>
      </w:r>
      <w:r w:rsidR="00FF2AAD">
        <w:t xml:space="preserve">and if a conclusion is reached send LS with the outcome to SA2, SA4 and SA6. </w:t>
      </w:r>
    </w:p>
    <w:p w14:paraId="594C8920" w14:textId="199DBE24" w:rsidR="00C6003A" w:rsidRDefault="00C6003A" w:rsidP="00C6003A">
      <w:pPr>
        <w:pStyle w:val="Heading2"/>
      </w:pPr>
      <w:r>
        <w:t>6</w:t>
      </w:r>
      <w:r>
        <w:tab/>
        <w:t>References</w:t>
      </w:r>
    </w:p>
    <w:p w14:paraId="53943CD3" w14:textId="2AA0071C" w:rsidR="00C6003A" w:rsidRDefault="00C6003A" w:rsidP="00C6003A">
      <w:r>
        <w:t>[1]</w:t>
      </w:r>
      <w:r w:rsidR="00242EF4">
        <w:tab/>
        <w:t>TS 26.531</w:t>
      </w:r>
      <w:r w:rsidR="003F23CC">
        <w:t xml:space="preserve">: </w:t>
      </w:r>
      <w:r w:rsidR="00412C05">
        <w:t>"</w:t>
      </w:r>
      <w:r w:rsidR="007B5F16" w:rsidRPr="007B5F16">
        <w:t>Data Collection and Reporting; General Description and Architecture</w:t>
      </w:r>
      <w:r w:rsidR="00412C05">
        <w:t>"</w:t>
      </w:r>
    </w:p>
    <w:p w14:paraId="4E1FE378" w14:textId="3019973E" w:rsidR="00242EF4" w:rsidRDefault="00242EF4" w:rsidP="00C6003A">
      <w:r>
        <w:t>[2]</w:t>
      </w:r>
      <w:r>
        <w:tab/>
      </w:r>
      <w:r w:rsidRPr="000D2E94">
        <w:t>TS 26.532</w:t>
      </w:r>
      <w:r w:rsidR="007B5F16">
        <w:t xml:space="preserve">: </w:t>
      </w:r>
      <w:r w:rsidR="00412C05">
        <w:t>"</w:t>
      </w:r>
      <w:r w:rsidR="00224CEB">
        <w:t>Data Collection and Reporting; Protocols and Formats</w:t>
      </w:r>
      <w:r w:rsidR="00412C05">
        <w:t>"</w:t>
      </w:r>
    </w:p>
    <w:p w14:paraId="74A764C1" w14:textId="12913A73" w:rsidR="00242EF4" w:rsidRDefault="00084CCB" w:rsidP="00C6003A">
      <w:r>
        <w:t>[</w:t>
      </w:r>
      <w:r w:rsidR="00F94EAD">
        <w:t>3</w:t>
      </w:r>
      <w:r>
        <w:t>]</w:t>
      </w:r>
      <w:r>
        <w:tab/>
        <w:t xml:space="preserve">TS </w:t>
      </w:r>
      <w:r w:rsidRPr="008D6092">
        <w:t>23.436</w:t>
      </w:r>
      <w:r w:rsidR="00F94EAD">
        <w:t xml:space="preserve">: </w:t>
      </w:r>
      <w:r w:rsidR="00412C05">
        <w:t>"</w:t>
      </w:r>
      <w:r w:rsidR="00787465">
        <w:t>Procedures for Application Data Analytics Enablement Service</w:t>
      </w:r>
      <w:r w:rsidR="00412C05">
        <w:t>"</w:t>
      </w:r>
    </w:p>
    <w:p w14:paraId="78F9880D" w14:textId="5DF218F8" w:rsidR="00242EF4" w:rsidRDefault="00242EF4" w:rsidP="00C6003A">
      <w:r>
        <w:t>[</w:t>
      </w:r>
      <w:r w:rsidR="008966AE">
        <w:t>4</w:t>
      </w:r>
      <w:r>
        <w:t>]</w:t>
      </w:r>
      <w:r>
        <w:tab/>
      </w:r>
      <w:r w:rsidRPr="00242EF4">
        <w:t>TS 26.512</w:t>
      </w:r>
      <w:r w:rsidR="00787465">
        <w:t xml:space="preserve">: </w:t>
      </w:r>
      <w:r w:rsidR="00412C05">
        <w:t>"</w:t>
      </w:r>
      <w:r w:rsidR="008966AE">
        <w:t>5G Media Streaming (5GMS); Protocols</w:t>
      </w:r>
      <w:r w:rsidR="00412C05">
        <w:t>"</w:t>
      </w:r>
    </w:p>
    <w:p w14:paraId="3C54195F" w14:textId="7BE92126" w:rsidR="00084CCB" w:rsidRDefault="00084CCB" w:rsidP="00C6003A">
      <w:r>
        <w:t>[</w:t>
      </w:r>
      <w:r w:rsidR="00956C88">
        <w:t>5</w:t>
      </w:r>
      <w:r>
        <w:t>]</w:t>
      </w:r>
      <w:r>
        <w:tab/>
        <w:t>TS 23.288</w:t>
      </w:r>
      <w:r w:rsidR="008966AE">
        <w:t xml:space="preserve">: </w:t>
      </w:r>
      <w:r w:rsidR="00412C05">
        <w:t>"</w:t>
      </w:r>
      <w:r w:rsidR="00786C35" w:rsidRPr="00786C35">
        <w:t>Architecture enhancements for 5G System (5GS) to support network data analytics services</w:t>
      </w:r>
      <w:r w:rsidR="00412C05">
        <w:t>"</w:t>
      </w:r>
    </w:p>
    <w:p w14:paraId="55AC2491" w14:textId="00225913" w:rsidR="00084CCB" w:rsidRDefault="00084CCB" w:rsidP="00C6003A">
      <w:r>
        <w:t>[</w:t>
      </w:r>
      <w:r w:rsidR="00956C88">
        <w:t>6</w:t>
      </w:r>
      <w:r>
        <w:t>]</w:t>
      </w:r>
      <w:r>
        <w:tab/>
      </w:r>
      <w:r w:rsidRPr="00084CCB">
        <w:t>S2-2205287</w:t>
      </w:r>
      <w:r w:rsidR="00786C35">
        <w:t xml:space="preserve">: </w:t>
      </w:r>
      <w:r w:rsidR="00412C05">
        <w:t>"</w:t>
      </w:r>
      <w:r w:rsidR="00162E13" w:rsidRPr="00162E13">
        <w:t>SA WG2 5G Core Information Exposure to UE via DCAF Solution Considerations</w:t>
      </w:r>
      <w:r w:rsidR="00162E13">
        <w:t>”</w:t>
      </w:r>
      <w:r w:rsidR="00B53FDB">
        <w:t>, LS from SA2 to SA4</w:t>
      </w:r>
      <w:r w:rsidR="00BB4A9B">
        <w:t>.</w:t>
      </w:r>
    </w:p>
    <w:p w14:paraId="477CA6DD" w14:textId="54493602" w:rsidR="000E6C9F" w:rsidRDefault="000E6C9F" w:rsidP="00C6003A">
      <w:r>
        <w:t>[</w:t>
      </w:r>
      <w:r w:rsidR="00956C88">
        <w:t>7</w:t>
      </w:r>
      <w:r>
        <w:t>]</w:t>
      </w:r>
      <w:r>
        <w:tab/>
        <w:t>S6-231059</w:t>
      </w:r>
      <w:r w:rsidR="005D5C45">
        <w:t>: "</w:t>
      </w:r>
      <w:r w:rsidR="00B321C5" w:rsidRPr="00B321C5">
        <w:t xml:space="preserve"> LS on the reuse of EVEX as specified in TS 26.531</w:t>
      </w:r>
      <w:r w:rsidR="00397622">
        <w:t>", LS from SA6 to SA4</w:t>
      </w:r>
      <w:r w:rsidR="00BB4A9B">
        <w:t>.</w:t>
      </w:r>
    </w:p>
    <w:p w14:paraId="59759B86" w14:textId="478B4C86" w:rsidR="006322A4" w:rsidRDefault="006322A4" w:rsidP="00C6003A">
      <w:r>
        <w:t>[10]</w:t>
      </w:r>
      <w:r>
        <w:tab/>
        <w:t>S2-228109</w:t>
      </w:r>
      <w:r w:rsidR="00275EB7">
        <w:t>: "</w:t>
      </w:r>
      <w:r w:rsidR="00275EB7" w:rsidRPr="00275EB7">
        <w:t xml:space="preserve"> LS on User plane solution for 5GC information exposure to UE</w:t>
      </w:r>
      <w:r w:rsidR="00275EB7">
        <w:t xml:space="preserve">", LS from </w:t>
      </w:r>
      <w:r w:rsidR="00686607">
        <w:t>SA4 to SA2</w:t>
      </w:r>
      <w:r w:rsidR="00BB4A9B">
        <w:t>.</w:t>
      </w:r>
    </w:p>
    <w:p w14:paraId="6B5B5105" w14:textId="3D530F09" w:rsidR="006322A4" w:rsidRPr="00C6003A" w:rsidRDefault="006322A4" w:rsidP="00C6003A">
      <w:r>
        <w:t>[11]</w:t>
      </w:r>
      <w:r>
        <w:tab/>
        <w:t>S2-228156</w:t>
      </w:r>
      <w:r w:rsidR="00686607">
        <w:t>: "</w:t>
      </w:r>
      <w:r w:rsidR="00BB4A9B" w:rsidRPr="00BB4A9B">
        <w:t xml:space="preserve"> Reply LS to SA2 on 5G Core Information Exposure to UE via DCAF Solution</w:t>
      </w:r>
      <w:r w:rsidR="00BB4A9B">
        <w:t>", LS from SA4 to SA2.</w:t>
      </w:r>
    </w:p>
    <w:sectPr w:rsidR="006322A4" w:rsidRPr="00C6003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4C58B" w14:textId="77777777" w:rsidR="008B5AD7" w:rsidRDefault="008B5AD7">
      <w:pPr>
        <w:spacing w:after="0"/>
      </w:pPr>
      <w:r>
        <w:separator/>
      </w:r>
    </w:p>
  </w:endnote>
  <w:endnote w:type="continuationSeparator" w:id="0">
    <w:p w14:paraId="18DC7DF0" w14:textId="77777777" w:rsidR="008B5AD7" w:rsidRDefault="008B5AD7">
      <w:pPr>
        <w:spacing w:after="0"/>
      </w:pPr>
      <w:r>
        <w:continuationSeparator/>
      </w:r>
    </w:p>
  </w:endnote>
  <w:endnote w:type="continuationNotice" w:id="1">
    <w:p w14:paraId="48BE8CAB" w14:textId="77777777" w:rsidR="008B5AD7" w:rsidRDefault="008B5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49748" w14:textId="77777777" w:rsidR="008B5AD7" w:rsidRDefault="008B5AD7">
      <w:pPr>
        <w:spacing w:after="0"/>
      </w:pPr>
      <w:r>
        <w:separator/>
      </w:r>
    </w:p>
  </w:footnote>
  <w:footnote w:type="continuationSeparator" w:id="0">
    <w:p w14:paraId="02BBB04F" w14:textId="77777777" w:rsidR="008B5AD7" w:rsidRDefault="008B5AD7">
      <w:pPr>
        <w:spacing w:after="0"/>
      </w:pPr>
      <w:r>
        <w:continuationSeparator/>
      </w:r>
    </w:p>
  </w:footnote>
  <w:footnote w:type="continuationNotice" w:id="1">
    <w:p w14:paraId="1E289DA1" w14:textId="77777777" w:rsidR="008B5AD7" w:rsidRDefault="008B5A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6277198"/>
    <w:multiLevelType w:val="hybridMultilevel"/>
    <w:tmpl w:val="E92A7CF6"/>
    <w:lvl w:ilvl="0" w:tplc="8850E11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064451235">
    <w:abstractNumId w:val="4"/>
  </w:num>
  <w:num w:numId="2" w16cid:durableId="559707054">
    <w:abstractNumId w:val="3"/>
  </w:num>
  <w:num w:numId="3" w16cid:durableId="1220171162">
    <w:abstractNumId w:val="2"/>
  </w:num>
  <w:num w:numId="4" w16cid:durableId="1402748457">
    <w:abstractNumId w:val="0"/>
  </w:num>
  <w:num w:numId="5" w16cid:durableId="55181524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C1F"/>
    <w:rsid w:val="00011246"/>
    <w:rsid w:val="000133E9"/>
    <w:rsid w:val="00013D41"/>
    <w:rsid w:val="00017F23"/>
    <w:rsid w:val="00023BC2"/>
    <w:rsid w:val="00046F08"/>
    <w:rsid w:val="00050E84"/>
    <w:rsid w:val="00052299"/>
    <w:rsid w:val="00060668"/>
    <w:rsid w:val="000736C2"/>
    <w:rsid w:val="000759B7"/>
    <w:rsid w:val="00084CCB"/>
    <w:rsid w:val="00087C7F"/>
    <w:rsid w:val="00090D30"/>
    <w:rsid w:val="00095BC2"/>
    <w:rsid w:val="000A381D"/>
    <w:rsid w:val="000C7F43"/>
    <w:rsid w:val="000E1979"/>
    <w:rsid w:val="000E6C9F"/>
    <w:rsid w:val="000F6242"/>
    <w:rsid w:val="00100AD1"/>
    <w:rsid w:val="00103882"/>
    <w:rsid w:val="001079C4"/>
    <w:rsid w:val="00112C17"/>
    <w:rsid w:val="001173EE"/>
    <w:rsid w:val="00117599"/>
    <w:rsid w:val="00123E75"/>
    <w:rsid w:val="00140044"/>
    <w:rsid w:val="001428FE"/>
    <w:rsid w:val="0014643D"/>
    <w:rsid w:val="00147DAE"/>
    <w:rsid w:val="001554D5"/>
    <w:rsid w:val="00162E13"/>
    <w:rsid w:val="00174844"/>
    <w:rsid w:val="001811A2"/>
    <w:rsid w:val="00196B80"/>
    <w:rsid w:val="001A3D76"/>
    <w:rsid w:val="001B1548"/>
    <w:rsid w:val="001B57FF"/>
    <w:rsid w:val="001C1F70"/>
    <w:rsid w:val="001E0CE3"/>
    <w:rsid w:val="001F00BD"/>
    <w:rsid w:val="00206E94"/>
    <w:rsid w:val="002125A9"/>
    <w:rsid w:val="002127DD"/>
    <w:rsid w:val="002201E4"/>
    <w:rsid w:val="00224CEB"/>
    <w:rsid w:val="00235D6B"/>
    <w:rsid w:val="002416DF"/>
    <w:rsid w:val="00242EF4"/>
    <w:rsid w:val="00266CB5"/>
    <w:rsid w:val="00270389"/>
    <w:rsid w:val="00275EB7"/>
    <w:rsid w:val="0028411D"/>
    <w:rsid w:val="00292FF6"/>
    <w:rsid w:val="002955AC"/>
    <w:rsid w:val="00297498"/>
    <w:rsid w:val="002A0228"/>
    <w:rsid w:val="002A2D23"/>
    <w:rsid w:val="002A2DF0"/>
    <w:rsid w:val="002A58B5"/>
    <w:rsid w:val="002A6824"/>
    <w:rsid w:val="002F1940"/>
    <w:rsid w:val="002F3DBD"/>
    <w:rsid w:val="00306054"/>
    <w:rsid w:val="00320F57"/>
    <w:rsid w:val="00330A05"/>
    <w:rsid w:val="0034124F"/>
    <w:rsid w:val="003442CD"/>
    <w:rsid w:val="003511CE"/>
    <w:rsid w:val="00376645"/>
    <w:rsid w:val="00376FF8"/>
    <w:rsid w:val="00381368"/>
    <w:rsid w:val="00383545"/>
    <w:rsid w:val="00395AA4"/>
    <w:rsid w:val="00397622"/>
    <w:rsid w:val="003A6DB2"/>
    <w:rsid w:val="003B654D"/>
    <w:rsid w:val="003C489E"/>
    <w:rsid w:val="003D3743"/>
    <w:rsid w:val="003E3B8B"/>
    <w:rsid w:val="003E5700"/>
    <w:rsid w:val="003F23CC"/>
    <w:rsid w:val="00412C05"/>
    <w:rsid w:val="00433500"/>
    <w:rsid w:val="00433F71"/>
    <w:rsid w:val="00440D43"/>
    <w:rsid w:val="0044389E"/>
    <w:rsid w:val="0045595F"/>
    <w:rsid w:val="004A2B3E"/>
    <w:rsid w:val="004A45D6"/>
    <w:rsid w:val="004A639A"/>
    <w:rsid w:val="004B46AC"/>
    <w:rsid w:val="004C4EDB"/>
    <w:rsid w:val="004D063A"/>
    <w:rsid w:val="004D0B81"/>
    <w:rsid w:val="004D2ABA"/>
    <w:rsid w:val="004E21CE"/>
    <w:rsid w:val="004E3384"/>
    <w:rsid w:val="004E3939"/>
    <w:rsid w:val="004E6C7B"/>
    <w:rsid w:val="004F3FD9"/>
    <w:rsid w:val="005033FF"/>
    <w:rsid w:val="00520EC6"/>
    <w:rsid w:val="005237CF"/>
    <w:rsid w:val="00524687"/>
    <w:rsid w:val="005329AE"/>
    <w:rsid w:val="0054729C"/>
    <w:rsid w:val="00547BD2"/>
    <w:rsid w:val="0055687B"/>
    <w:rsid w:val="00575DBD"/>
    <w:rsid w:val="0059017E"/>
    <w:rsid w:val="005946C6"/>
    <w:rsid w:val="005A71CA"/>
    <w:rsid w:val="005A7256"/>
    <w:rsid w:val="005B2725"/>
    <w:rsid w:val="005B5087"/>
    <w:rsid w:val="005D337E"/>
    <w:rsid w:val="005D5C45"/>
    <w:rsid w:val="005E0C6E"/>
    <w:rsid w:val="005F1CA7"/>
    <w:rsid w:val="005F5F37"/>
    <w:rsid w:val="005F7DC0"/>
    <w:rsid w:val="00614A74"/>
    <w:rsid w:val="00626F33"/>
    <w:rsid w:val="006322A4"/>
    <w:rsid w:val="006474C6"/>
    <w:rsid w:val="006516C4"/>
    <w:rsid w:val="0066353C"/>
    <w:rsid w:val="00667381"/>
    <w:rsid w:val="00681724"/>
    <w:rsid w:val="00681DCF"/>
    <w:rsid w:val="0068325E"/>
    <w:rsid w:val="00686607"/>
    <w:rsid w:val="00696B6F"/>
    <w:rsid w:val="006A3A35"/>
    <w:rsid w:val="006B34EC"/>
    <w:rsid w:val="006B45A1"/>
    <w:rsid w:val="006E0D4F"/>
    <w:rsid w:val="006F2D99"/>
    <w:rsid w:val="00717FF9"/>
    <w:rsid w:val="00721CE3"/>
    <w:rsid w:val="007230A8"/>
    <w:rsid w:val="00726022"/>
    <w:rsid w:val="00726157"/>
    <w:rsid w:val="00753996"/>
    <w:rsid w:val="0076511D"/>
    <w:rsid w:val="00773A75"/>
    <w:rsid w:val="00773B83"/>
    <w:rsid w:val="00774E7E"/>
    <w:rsid w:val="00786C35"/>
    <w:rsid w:val="00787465"/>
    <w:rsid w:val="00790F2C"/>
    <w:rsid w:val="007A0B7F"/>
    <w:rsid w:val="007B174E"/>
    <w:rsid w:val="007B5F16"/>
    <w:rsid w:val="007C7341"/>
    <w:rsid w:val="007F3992"/>
    <w:rsid w:val="007F4F92"/>
    <w:rsid w:val="007F6F25"/>
    <w:rsid w:val="00832B2B"/>
    <w:rsid w:val="0085216C"/>
    <w:rsid w:val="00877BD9"/>
    <w:rsid w:val="008855D6"/>
    <w:rsid w:val="008858CD"/>
    <w:rsid w:val="008966AE"/>
    <w:rsid w:val="008B5AD7"/>
    <w:rsid w:val="008C3545"/>
    <w:rsid w:val="008C6649"/>
    <w:rsid w:val="008D4361"/>
    <w:rsid w:val="008D6092"/>
    <w:rsid w:val="008D772F"/>
    <w:rsid w:val="008F2FDB"/>
    <w:rsid w:val="008F6E75"/>
    <w:rsid w:val="0090400E"/>
    <w:rsid w:val="009205E5"/>
    <w:rsid w:val="0092395B"/>
    <w:rsid w:val="00934324"/>
    <w:rsid w:val="00953874"/>
    <w:rsid w:val="00955B07"/>
    <w:rsid w:val="0095671B"/>
    <w:rsid w:val="00956C88"/>
    <w:rsid w:val="00993F50"/>
    <w:rsid w:val="0099505E"/>
    <w:rsid w:val="00996219"/>
    <w:rsid w:val="0099764C"/>
    <w:rsid w:val="009A042C"/>
    <w:rsid w:val="009A3A6B"/>
    <w:rsid w:val="009C0378"/>
    <w:rsid w:val="009D007C"/>
    <w:rsid w:val="009E6F79"/>
    <w:rsid w:val="009F08AE"/>
    <w:rsid w:val="00A0075C"/>
    <w:rsid w:val="00A1295D"/>
    <w:rsid w:val="00A13DBA"/>
    <w:rsid w:val="00A20CFA"/>
    <w:rsid w:val="00A246F2"/>
    <w:rsid w:val="00A37477"/>
    <w:rsid w:val="00A41AFD"/>
    <w:rsid w:val="00A42A46"/>
    <w:rsid w:val="00A444AA"/>
    <w:rsid w:val="00A46CCB"/>
    <w:rsid w:val="00A61375"/>
    <w:rsid w:val="00A6171D"/>
    <w:rsid w:val="00A6612D"/>
    <w:rsid w:val="00A71544"/>
    <w:rsid w:val="00A86D4F"/>
    <w:rsid w:val="00AB680A"/>
    <w:rsid w:val="00AC6106"/>
    <w:rsid w:val="00AE1828"/>
    <w:rsid w:val="00B05A6D"/>
    <w:rsid w:val="00B11704"/>
    <w:rsid w:val="00B176AB"/>
    <w:rsid w:val="00B321C5"/>
    <w:rsid w:val="00B33F3C"/>
    <w:rsid w:val="00B36F0F"/>
    <w:rsid w:val="00B407FB"/>
    <w:rsid w:val="00B43585"/>
    <w:rsid w:val="00B457F6"/>
    <w:rsid w:val="00B52BCB"/>
    <w:rsid w:val="00B53FDB"/>
    <w:rsid w:val="00B64D8D"/>
    <w:rsid w:val="00B6628C"/>
    <w:rsid w:val="00B66692"/>
    <w:rsid w:val="00B74FB9"/>
    <w:rsid w:val="00B85D67"/>
    <w:rsid w:val="00B928B7"/>
    <w:rsid w:val="00B97703"/>
    <w:rsid w:val="00BB4A9B"/>
    <w:rsid w:val="00BB4DDF"/>
    <w:rsid w:val="00BB6A1F"/>
    <w:rsid w:val="00BC68A0"/>
    <w:rsid w:val="00BE2584"/>
    <w:rsid w:val="00BE7F7C"/>
    <w:rsid w:val="00BF2F5E"/>
    <w:rsid w:val="00C04BAC"/>
    <w:rsid w:val="00C0721B"/>
    <w:rsid w:val="00C127FC"/>
    <w:rsid w:val="00C17B7B"/>
    <w:rsid w:val="00C23C20"/>
    <w:rsid w:val="00C3484F"/>
    <w:rsid w:val="00C362C0"/>
    <w:rsid w:val="00C40273"/>
    <w:rsid w:val="00C524F2"/>
    <w:rsid w:val="00C6003A"/>
    <w:rsid w:val="00C602E1"/>
    <w:rsid w:val="00C62C72"/>
    <w:rsid w:val="00C75C6B"/>
    <w:rsid w:val="00C90A18"/>
    <w:rsid w:val="00C9622E"/>
    <w:rsid w:val="00CC163F"/>
    <w:rsid w:val="00CC257F"/>
    <w:rsid w:val="00CF6087"/>
    <w:rsid w:val="00D02826"/>
    <w:rsid w:val="00D02856"/>
    <w:rsid w:val="00D03103"/>
    <w:rsid w:val="00D144DE"/>
    <w:rsid w:val="00D209D8"/>
    <w:rsid w:val="00D25CD3"/>
    <w:rsid w:val="00D33F9E"/>
    <w:rsid w:val="00D36D1C"/>
    <w:rsid w:val="00D51E36"/>
    <w:rsid w:val="00D551D8"/>
    <w:rsid w:val="00D61EBC"/>
    <w:rsid w:val="00D62A0E"/>
    <w:rsid w:val="00D84FCE"/>
    <w:rsid w:val="00D856BD"/>
    <w:rsid w:val="00D94520"/>
    <w:rsid w:val="00DA7769"/>
    <w:rsid w:val="00DB6626"/>
    <w:rsid w:val="00DD0457"/>
    <w:rsid w:val="00DE0120"/>
    <w:rsid w:val="00DE015A"/>
    <w:rsid w:val="00DE0EF4"/>
    <w:rsid w:val="00DF2A49"/>
    <w:rsid w:val="00DF6D48"/>
    <w:rsid w:val="00DF7E79"/>
    <w:rsid w:val="00DF7E9B"/>
    <w:rsid w:val="00E05460"/>
    <w:rsid w:val="00E120B9"/>
    <w:rsid w:val="00E14864"/>
    <w:rsid w:val="00E20EE8"/>
    <w:rsid w:val="00E23252"/>
    <w:rsid w:val="00E27585"/>
    <w:rsid w:val="00E47FC4"/>
    <w:rsid w:val="00E55A58"/>
    <w:rsid w:val="00E6120C"/>
    <w:rsid w:val="00E8257F"/>
    <w:rsid w:val="00E92981"/>
    <w:rsid w:val="00EC0AE9"/>
    <w:rsid w:val="00EC49EA"/>
    <w:rsid w:val="00ED48C3"/>
    <w:rsid w:val="00EE6726"/>
    <w:rsid w:val="00EF09AB"/>
    <w:rsid w:val="00EF1E40"/>
    <w:rsid w:val="00EF43A6"/>
    <w:rsid w:val="00EF639B"/>
    <w:rsid w:val="00F33593"/>
    <w:rsid w:val="00F34B3C"/>
    <w:rsid w:val="00F34F2C"/>
    <w:rsid w:val="00F36925"/>
    <w:rsid w:val="00F43DA1"/>
    <w:rsid w:val="00F50AE9"/>
    <w:rsid w:val="00F74830"/>
    <w:rsid w:val="00F80127"/>
    <w:rsid w:val="00F836AA"/>
    <w:rsid w:val="00F905A3"/>
    <w:rsid w:val="00F92D6C"/>
    <w:rsid w:val="00F930FA"/>
    <w:rsid w:val="00F94EAD"/>
    <w:rsid w:val="00FA1043"/>
    <w:rsid w:val="00FA111B"/>
    <w:rsid w:val="00FC0EAA"/>
    <w:rsid w:val="00FD7A33"/>
    <w:rsid w:val="00FE5753"/>
    <w:rsid w:val="00FE6547"/>
    <w:rsid w:val="00FF2AAD"/>
    <w:rsid w:val="02EE1C42"/>
    <w:rsid w:val="03B3153A"/>
    <w:rsid w:val="15754F4D"/>
    <w:rsid w:val="1C5F5D1F"/>
    <w:rsid w:val="29E26C58"/>
    <w:rsid w:val="3A59E48E"/>
    <w:rsid w:val="4FC21C7A"/>
    <w:rsid w:val="52006B9E"/>
    <w:rsid w:val="54793475"/>
    <w:rsid w:val="5F5380F3"/>
    <w:rsid w:val="6016AB6E"/>
    <w:rsid w:val="77CB4A7C"/>
    <w:rsid w:val="79AC7673"/>
    <w:rsid w:val="7C5D6A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ADA3ADFA-3414-4CB9-A2AB-D247C73E0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9AB"/>
    <w:pPr>
      <w:overflowPunct w:val="0"/>
      <w:autoSpaceDE w:val="0"/>
      <w:autoSpaceDN w:val="0"/>
      <w:adjustRightInd w:val="0"/>
      <w:spacing w:after="180"/>
      <w:textAlignment w:val="baseline"/>
    </w:pPr>
  </w:style>
  <w:style w:type="paragraph" w:styleId="Heading1">
    <w:name w:val="heading 1"/>
    <w:aliases w:val="H1,h1"/>
    <w:next w:val="Normal"/>
    <w:qFormat/>
    <w:rsid w:val="004D06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D063A"/>
    <w:pPr>
      <w:pBdr>
        <w:top w:val="none" w:sz="0" w:space="0" w:color="auto"/>
      </w:pBdr>
      <w:spacing w:before="180"/>
      <w:outlineLvl w:val="1"/>
    </w:pPr>
    <w:rPr>
      <w:sz w:val="32"/>
    </w:rPr>
  </w:style>
  <w:style w:type="paragraph" w:styleId="Heading3">
    <w:name w:val="heading 3"/>
    <w:aliases w:val="H3,h3"/>
    <w:basedOn w:val="Heading2"/>
    <w:next w:val="Normal"/>
    <w:qFormat/>
    <w:rsid w:val="004D063A"/>
    <w:pPr>
      <w:spacing w:before="120"/>
      <w:outlineLvl w:val="2"/>
    </w:pPr>
    <w:rPr>
      <w:sz w:val="28"/>
    </w:rPr>
  </w:style>
  <w:style w:type="paragraph" w:styleId="Heading4">
    <w:name w:val="heading 4"/>
    <w:aliases w:val="h4"/>
    <w:basedOn w:val="Heading3"/>
    <w:next w:val="Normal"/>
    <w:qFormat/>
    <w:rsid w:val="004D063A"/>
    <w:pPr>
      <w:ind w:left="1418" w:hanging="1418"/>
      <w:outlineLvl w:val="3"/>
    </w:pPr>
    <w:rPr>
      <w:sz w:val="24"/>
    </w:rPr>
  </w:style>
  <w:style w:type="paragraph" w:styleId="Heading5">
    <w:name w:val="heading 5"/>
    <w:aliases w:val="h5"/>
    <w:basedOn w:val="Heading4"/>
    <w:next w:val="Normal"/>
    <w:qFormat/>
    <w:rsid w:val="004D063A"/>
    <w:pPr>
      <w:ind w:left="1701" w:hanging="1701"/>
      <w:outlineLvl w:val="4"/>
    </w:pPr>
    <w:rPr>
      <w:sz w:val="22"/>
    </w:rPr>
  </w:style>
  <w:style w:type="paragraph" w:styleId="Heading6">
    <w:name w:val="heading 6"/>
    <w:aliases w:val="h6"/>
    <w:basedOn w:val="H6"/>
    <w:next w:val="Normal"/>
    <w:qFormat/>
    <w:rsid w:val="004D063A"/>
    <w:pPr>
      <w:outlineLvl w:val="5"/>
    </w:pPr>
  </w:style>
  <w:style w:type="paragraph" w:styleId="Heading7">
    <w:name w:val="heading 7"/>
    <w:basedOn w:val="H6"/>
    <w:next w:val="Normal"/>
    <w:qFormat/>
    <w:rsid w:val="004D063A"/>
    <w:pPr>
      <w:outlineLvl w:val="6"/>
    </w:pPr>
  </w:style>
  <w:style w:type="paragraph" w:styleId="Heading8">
    <w:name w:val="heading 8"/>
    <w:basedOn w:val="Heading1"/>
    <w:next w:val="Normal"/>
    <w:qFormat/>
    <w:rsid w:val="004D063A"/>
    <w:pPr>
      <w:ind w:left="0" w:firstLine="0"/>
      <w:outlineLvl w:val="7"/>
    </w:pPr>
  </w:style>
  <w:style w:type="paragraph" w:styleId="Heading9">
    <w:name w:val="heading 9"/>
    <w:basedOn w:val="Heading8"/>
    <w:next w:val="Normal"/>
    <w:qFormat/>
    <w:rsid w:val="004D06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D063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D063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D063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4D063A"/>
    <w:pPr>
      <w:spacing w:before="180"/>
      <w:ind w:left="2693" w:hanging="2693"/>
    </w:pPr>
    <w:rPr>
      <w:b/>
    </w:rPr>
  </w:style>
  <w:style w:type="paragraph" w:styleId="TOC1">
    <w:name w:val="toc 1"/>
    <w:semiHidden/>
    <w:rsid w:val="004D063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D06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D063A"/>
    <w:pPr>
      <w:ind w:left="1701" w:hanging="1701"/>
    </w:pPr>
  </w:style>
  <w:style w:type="paragraph" w:styleId="TOC4">
    <w:name w:val="toc 4"/>
    <w:basedOn w:val="TOC3"/>
    <w:semiHidden/>
    <w:rsid w:val="004D063A"/>
    <w:pPr>
      <w:ind w:left="1418" w:hanging="1418"/>
    </w:pPr>
  </w:style>
  <w:style w:type="paragraph" w:styleId="TOC3">
    <w:name w:val="toc 3"/>
    <w:basedOn w:val="TOC2"/>
    <w:semiHidden/>
    <w:rsid w:val="004D063A"/>
    <w:pPr>
      <w:ind w:left="1134" w:hanging="1134"/>
    </w:pPr>
  </w:style>
  <w:style w:type="paragraph" w:styleId="TOC2">
    <w:name w:val="toc 2"/>
    <w:basedOn w:val="TOC1"/>
    <w:semiHidden/>
    <w:rsid w:val="004D063A"/>
    <w:pPr>
      <w:keepNext w:val="0"/>
      <w:spacing w:before="0"/>
      <w:ind w:left="851" w:hanging="851"/>
    </w:pPr>
    <w:rPr>
      <w:sz w:val="20"/>
    </w:rPr>
  </w:style>
  <w:style w:type="paragraph" w:styleId="Index2">
    <w:name w:val="index 2"/>
    <w:basedOn w:val="Index1"/>
    <w:semiHidden/>
    <w:rsid w:val="004D063A"/>
    <w:pPr>
      <w:ind w:left="284"/>
    </w:pPr>
  </w:style>
  <w:style w:type="paragraph" w:styleId="Index1">
    <w:name w:val="index 1"/>
    <w:basedOn w:val="Normal"/>
    <w:semiHidden/>
    <w:rsid w:val="004D063A"/>
    <w:pPr>
      <w:keepLines/>
      <w:spacing w:after="0"/>
    </w:pPr>
  </w:style>
  <w:style w:type="paragraph" w:customStyle="1" w:styleId="ZH">
    <w:name w:val="ZH"/>
    <w:rsid w:val="004D063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D063A"/>
    <w:pPr>
      <w:outlineLvl w:val="9"/>
    </w:pPr>
  </w:style>
  <w:style w:type="paragraph" w:styleId="ListNumber2">
    <w:name w:val="List Number 2"/>
    <w:basedOn w:val="ListNumber"/>
    <w:semiHidden/>
    <w:rsid w:val="004D063A"/>
    <w:pPr>
      <w:ind w:left="851"/>
    </w:pPr>
  </w:style>
  <w:style w:type="character" w:styleId="FootnoteReference">
    <w:name w:val="footnote reference"/>
    <w:semiHidden/>
    <w:rsid w:val="004D063A"/>
    <w:rPr>
      <w:b/>
      <w:position w:val="6"/>
      <w:sz w:val="16"/>
    </w:rPr>
  </w:style>
  <w:style w:type="paragraph" w:styleId="FootnoteText">
    <w:name w:val="footnote text"/>
    <w:basedOn w:val="Normal"/>
    <w:link w:val="FootnoteTextChar"/>
    <w:semiHidden/>
    <w:rsid w:val="004D063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D063A"/>
    <w:rPr>
      <w:b/>
    </w:rPr>
  </w:style>
  <w:style w:type="paragraph" w:customStyle="1" w:styleId="TAC">
    <w:name w:val="TAC"/>
    <w:basedOn w:val="TAL"/>
    <w:rsid w:val="004D063A"/>
    <w:pPr>
      <w:jc w:val="center"/>
    </w:pPr>
  </w:style>
  <w:style w:type="paragraph" w:customStyle="1" w:styleId="TF">
    <w:name w:val="TF"/>
    <w:aliases w:val="left"/>
    <w:basedOn w:val="TH"/>
    <w:link w:val="TFChar"/>
    <w:rsid w:val="004D063A"/>
    <w:pPr>
      <w:keepNext w:val="0"/>
      <w:spacing w:before="0" w:after="240"/>
    </w:pPr>
  </w:style>
  <w:style w:type="paragraph" w:customStyle="1" w:styleId="NO">
    <w:name w:val="NO"/>
    <w:basedOn w:val="Normal"/>
    <w:rsid w:val="004D063A"/>
    <w:pPr>
      <w:keepLines/>
      <w:ind w:left="1135" w:hanging="851"/>
    </w:pPr>
  </w:style>
  <w:style w:type="paragraph" w:styleId="TOC9">
    <w:name w:val="toc 9"/>
    <w:basedOn w:val="TOC8"/>
    <w:semiHidden/>
    <w:rsid w:val="004D063A"/>
    <w:pPr>
      <w:ind w:left="1418" w:hanging="1418"/>
    </w:pPr>
  </w:style>
  <w:style w:type="paragraph" w:customStyle="1" w:styleId="EX">
    <w:name w:val="EX"/>
    <w:basedOn w:val="Normal"/>
    <w:rsid w:val="004D063A"/>
    <w:pPr>
      <w:keepLines/>
      <w:ind w:left="1702" w:hanging="1418"/>
    </w:pPr>
  </w:style>
  <w:style w:type="paragraph" w:customStyle="1" w:styleId="FP">
    <w:name w:val="FP"/>
    <w:basedOn w:val="Normal"/>
    <w:rsid w:val="004D063A"/>
    <w:pPr>
      <w:spacing w:after="0"/>
    </w:pPr>
  </w:style>
  <w:style w:type="paragraph" w:customStyle="1" w:styleId="LD">
    <w:name w:val="LD"/>
    <w:rsid w:val="004D063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D063A"/>
    <w:pPr>
      <w:spacing w:after="0"/>
    </w:pPr>
  </w:style>
  <w:style w:type="paragraph" w:customStyle="1" w:styleId="EW">
    <w:name w:val="EW"/>
    <w:basedOn w:val="EX"/>
    <w:rsid w:val="004D063A"/>
    <w:pPr>
      <w:spacing w:after="0"/>
    </w:pPr>
  </w:style>
  <w:style w:type="paragraph" w:styleId="TOC6">
    <w:name w:val="toc 6"/>
    <w:basedOn w:val="TOC5"/>
    <w:next w:val="Normal"/>
    <w:semiHidden/>
    <w:rsid w:val="004D063A"/>
    <w:pPr>
      <w:ind w:left="1985" w:hanging="1985"/>
    </w:pPr>
  </w:style>
  <w:style w:type="paragraph" w:styleId="TOC7">
    <w:name w:val="toc 7"/>
    <w:basedOn w:val="TOC6"/>
    <w:next w:val="Normal"/>
    <w:semiHidden/>
    <w:rsid w:val="004D063A"/>
    <w:pPr>
      <w:ind w:left="2268" w:hanging="2268"/>
    </w:pPr>
  </w:style>
  <w:style w:type="paragraph" w:styleId="ListBullet2">
    <w:name w:val="List Bullet 2"/>
    <w:basedOn w:val="ListBullet"/>
    <w:semiHidden/>
    <w:rsid w:val="004D063A"/>
    <w:pPr>
      <w:ind w:left="851"/>
    </w:pPr>
  </w:style>
  <w:style w:type="paragraph" w:styleId="ListBullet3">
    <w:name w:val="List Bullet 3"/>
    <w:basedOn w:val="ListBullet2"/>
    <w:semiHidden/>
    <w:rsid w:val="004D063A"/>
    <w:pPr>
      <w:ind w:left="1135"/>
    </w:pPr>
  </w:style>
  <w:style w:type="paragraph" w:styleId="ListNumber">
    <w:name w:val="List Number"/>
    <w:basedOn w:val="List"/>
    <w:semiHidden/>
    <w:rsid w:val="004D063A"/>
  </w:style>
  <w:style w:type="paragraph" w:customStyle="1" w:styleId="EQ">
    <w:name w:val="EQ"/>
    <w:basedOn w:val="Normal"/>
    <w:next w:val="Normal"/>
    <w:rsid w:val="004D063A"/>
    <w:pPr>
      <w:keepLines/>
      <w:tabs>
        <w:tab w:val="center" w:pos="4536"/>
        <w:tab w:val="right" w:pos="9072"/>
      </w:tabs>
    </w:pPr>
    <w:rPr>
      <w:noProof/>
    </w:rPr>
  </w:style>
  <w:style w:type="paragraph" w:customStyle="1" w:styleId="TH">
    <w:name w:val="TH"/>
    <w:basedOn w:val="Normal"/>
    <w:link w:val="THChar"/>
    <w:qFormat/>
    <w:rsid w:val="004D063A"/>
    <w:pPr>
      <w:keepNext/>
      <w:keepLines/>
      <w:spacing w:before="60"/>
      <w:jc w:val="center"/>
    </w:pPr>
    <w:rPr>
      <w:rFonts w:ascii="Arial" w:hAnsi="Arial"/>
      <w:b/>
    </w:rPr>
  </w:style>
  <w:style w:type="paragraph" w:customStyle="1" w:styleId="NF">
    <w:name w:val="NF"/>
    <w:basedOn w:val="NO"/>
    <w:rsid w:val="004D063A"/>
    <w:pPr>
      <w:keepNext/>
      <w:spacing w:after="0"/>
    </w:pPr>
    <w:rPr>
      <w:rFonts w:ascii="Arial" w:hAnsi="Arial"/>
      <w:sz w:val="18"/>
    </w:rPr>
  </w:style>
  <w:style w:type="paragraph" w:customStyle="1" w:styleId="PL">
    <w:name w:val="PL"/>
    <w:rsid w:val="004D06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063A"/>
    <w:pPr>
      <w:jc w:val="right"/>
    </w:pPr>
  </w:style>
  <w:style w:type="paragraph" w:customStyle="1" w:styleId="H6">
    <w:name w:val="H6"/>
    <w:basedOn w:val="Heading5"/>
    <w:next w:val="Normal"/>
    <w:rsid w:val="004D063A"/>
    <w:pPr>
      <w:ind w:left="1985" w:hanging="1985"/>
      <w:outlineLvl w:val="9"/>
    </w:pPr>
    <w:rPr>
      <w:sz w:val="20"/>
    </w:rPr>
  </w:style>
  <w:style w:type="paragraph" w:customStyle="1" w:styleId="TAN">
    <w:name w:val="TAN"/>
    <w:basedOn w:val="TAL"/>
    <w:rsid w:val="004D063A"/>
    <w:pPr>
      <w:ind w:left="851" w:hanging="851"/>
    </w:pPr>
  </w:style>
  <w:style w:type="paragraph" w:customStyle="1" w:styleId="TAL">
    <w:name w:val="TAL"/>
    <w:basedOn w:val="Normal"/>
    <w:rsid w:val="004D063A"/>
    <w:pPr>
      <w:keepNext/>
      <w:keepLines/>
      <w:spacing w:after="0"/>
    </w:pPr>
    <w:rPr>
      <w:rFonts w:ascii="Arial" w:hAnsi="Arial"/>
      <w:sz w:val="18"/>
    </w:rPr>
  </w:style>
  <w:style w:type="paragraph" w:customStyle="1" w:styleId="ZA">
    <w:name w:val="ZA"/>
    <w:rsid w:val="004D06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06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D063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D06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D063A"/>
    <w:pPr>
      <w:framePr w:wrap="notBeside" w:y="16161"/>
    </w:pPr>
  </w:style>
  <w:style w:type="character" w:customStyle="1" w:styleId="ZGSM">
    <w:name w:val="ZGSM"/>
    <w:rsid w:val="004D063A"/>
  </w:style>
  <w:style w:type="paragraph" w:styleId="List2">
    <w:name w:val="List 2"/>
    <w:basedOn w:val="List"/>
    <w:semiHidden/>
    <w:rsid w:val="004D063A"/>
    <w:pPr>
      <w:ind w:left="851"/>
    </w:pPr>
  </w:style>
  <w:style w:type="paragraph" w:customStyle="1" w:styleId="ZG">
    <w:name w:val="ZG"/>
    <w:rsid w:val="004D063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D063A"/>
    <w:pPr>
      <w:ind w:left="1135"/>
    </w:pPr>
  </w:style>
  <w:style w:type="paragraph" w:styleId="List4">
    <w:name w:val="List 4"/>
    <w:basedOn w:val="List3"/>
    <w:semiHidden/>
    <w:rsid w:val="004D063A"/>
    <w:pPr>
      <w:ind w:left="1418"/>
    </w:pPr>
  </w:style>
  <w:style w:type="paragraph" w:styleId="List5">
    <w:name w:val="List 5"/>
    <w:basedOn w:val="List4"/>
    <w:semiHidden/>
    <w:rsid w:val="004D063A"/>
    <w:pPr>
      <w:ind w:left="1702"/>
    </w:pPr>
  </w:style>
  <w:style w:type="paragraph" w:customStyle="1" w:styleId="EditorsNote">
    <w:name w:val="Editor's Note"/>
    <w:basedOn w:val="NO"/>
    <w:rsid w:val="004D063A"/>
    <w:rPr>
      <w:color w:val="FF0000"/>
    </w:rPr>
  </w:style>
  <w:style w:type="paragraph" w:styleId="List">
    <w:name w:val="List"/>
    <w:basedOn w:val="Normal"/>
    <w:semiHidden/>
    <w:rsid w:val="004D063A"/>
    <w:pPr>
      <w:ind w:left="568" w:hanging="284"/>
    </w:pPr>
  </w:style>
  <w:style w:type="paragraph" w:styleId="ListBullet">
    <w:name w:val="List Bullet"/>
    <w:basedOn w:val="List"/>
    <w:semiHidden/>
    <w:rsid w:val="004D063A"/>
  </w:style>
  <w:style w:type="paragraph" w:styleId="ListBullet4">
    <w:name w:val="List Bullet 4"/>
    <w:basedOn w:val="ListBullet3"/>
    <w:semiHidden/>
    <w:rsid w:val="004D063A"/>
    <w:pPr>
      <w:ind w:left="1418"/>
    </w:pPr>
  </w:style>
  <w:style w:type="paragraph" w:styleId="ListBullet5">
    <w:name w:val="List Bullet 5"/>
    <w:basedOn w:val="ListBullet4"/>
    <w:semiHidden/>
    <w:rsid w:val="004D063A"/>
    <w:pPr>
      <w:ind w:left="1702"/>
    </w:pPr>
  </w:style>
  <w:style w:type="paragraph" w:customStyle="1" w:styleId="B2">
    <w:name w:val="B2"/>
    <w:basedOn w:val="List2"/>
    <w:rsid w:val="004D063A"/>
  </w:style>
  <w:style w:type="paragraph" w:customStyle="1" w:styleId="B3">
    <w:name w:val="B3"/>
    <w:basedOn w:val="List3"/>
    <w:rsid w:val="004D063A"/>
  </w:style>
  <w:style w:type="paragraph" w:customStyle="1" w:styleId="B4">
    <w:name w:val="B4"/>
    <w:basedOn w:val="List4"/>
    <w:rsid w:val="004D063A"/>
  </w:style>
  <w:style w:type="paragraph" w:customStyle="1" w:styleId="B5">
    <w:name w:val="B5"/>
    <w:basedOn w:val="List5"/>
    <w:rsid w:val="004D063A"/>
  </w:style>
  <w:style w:type="paragraph" w:customStyle="1" w:styleId="ZTD">
    <w:name w:val="ZTD"/>
    <w:basedOn w:val="ZB"/>
    <w:rsid w:val="004D063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character" w:customStyle="1" w:styleId="ui-provider">
    <w:name w:val="ui-provider"/>
    <w:basedOn w:val="DefaultParagraphFont"/>
    <w:rsid w:val="00614A74"/>
  </w:style>
  <w:style w:type="paragraph" w:styleId="Revision">
    <w:name w:val="Revision"/>
    <w:hidden/>
    <w:uiPriority w:val="99"/>
    <w:semiHidden/>
    <w:rsid w:val="008855D6"/>
  </w:style>
  <w:style w:type="paragraph" w:styleId="ListParagraph">
    <w:name w:val="List Paragraph"/>
    <w:basedOn w:val="Normal"/>
    <w:uiPriority w:val="34"/>
    <w:qFormat/>
    <w:rsid w:val="008855D6"/>
    <w:pPr>
      <w:ind w:left="720"/>
      <w:contextualSpacing/>
    </w:pPr>
  </w:style>
  <w:style w:type="paragraph" w:styleId="CommentSubject">
    <w:name w:val="annotation subject"/>
    <w:basedOn w:val="CommentText"/>
    <w:next w:val="CommentText"/>
    <w:link w:val="CommentSubjectChar"/>
    <w:uiPriority w:val="99"/>
    <w:semiHidden/>
    <w:unhideWhenUsed/>
    <w:rsid w:val="00EF09A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F09AB"/>
    <w:rPr>
      <w:rFonts w:ascii="Arial" w:hAnsi="Arial"/>
    </w:rPr>
  </w:style>
  <w:style w:type="character" w:customStyle="1" w:styleId="CommentSubjectChar">
    <w:name w:val="Comment Subject Char"/>
    <w:basedOn w:val="CommentTextChar"/>
    <w:link w:val="CommentSubject"/>
    <w:uiPriority w:val="99"/>
    <w:semiHidden/>
    <w:rsid w:val="00EF09AB"/>
    <w:rPr>
      <w:rFonts w:ascii="Arial" w:hAnsi="Arial"/>
      <w:b/>
      <w:bCs/>
    </w:rPr>
  </w:style>
  <w:style w:type="character" w:styleId="UnresolvedMention">
    <w:name w:val="Unresolved Mention"/>
    <w:basedOn w:val="DefaultParagraphFont"/>
    <w:uiPriority w:val="99"/>
    <w:semiHidden/>
    <w:unhideWhenUsed/>
    <w:rsid w:val="00FC0EAA"/>
    <w:rPr>
      <w:color w:val="605E5C"/>
      <w:shd w:val="clear" w:color="auto" w:fill="E1DFDD"/>
    </w:rPr>
  </w:style>
  <w:style w:type="character" w:customStyle="1" w:styleId="THChar">
    <w:name w:val="TH Char"/>
    <w:link w:val="TH"/>
    <w:qFormat/>
    <w:rsid w:val="00EF43A6"/>
    <w:rPr>
      <w:rFonts w:ascii="Arial" w:hAnsi="Arial"/>
      <w:b/>
    </w:rPr>
  </w:style>
  <w:style w:type="character" w:customStyle="1" w:styleId="TFChar">
    <w:name w:val="TF Char"/>
    <w:link w:val="TF"/>
    <w:rsid w:val="00EF43A6"/>
    <w:rPr>
      <w:rFonts w:ascii="Arial" w:hAnsi="Arial"/>
      <w:b/>
    </w:rPr>
  </w:style>
  <w:style w:type="character" w:styleId="FollowedHyperlink">
    <w:name w:val="FollowedHyperlink"/>
    <w:basedOn w:val="DefaultParagraphFont"/>
    <w:uiPriority w:val="99"/>
    <w:semiHidden/>
    <w:unhideWhenUsed/>
    <w:rsid w:val="005568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796200">
      <w:bodyDiv w:val="1"/>
      <w:marLeft w:val="0"/>
      <w:marRight w:val="0"/>
      <w:marTop w:val="0"/>
      <w:marBottom w:val="0"/>
      <w:divBdr>
        <w:top w:val="none" w:sz="0" w:space="0" w:color="auto"/>
        <w:left w:val="none" w:sz="0" w:space="0" w:color="auto"/>
        <w:bottom w:val="none" w:sz="0" w:space="0" w:color="auto"/>
        <w:right w:val="none" w:sz="0" w:space="0" w:color="auto"/>
      </w:divBdr>
    </w:div>
    <w:div w:id="414480026">
      <w:bodyDiv w:val="1"/>
      <w:marLeft w:val="0"/>
      <w:marRight w:val="0"/>
      <w:marTop w:val="0"/>
      <w:marBottom w:val="0"/>
      <w:divBdr>
        <w:top w:val="none" w:sz="0" w:space="0" w:color="auto"/>
        <w:left w:val="none" w:sz="0" w:space="0" w:color="auto"/>
        <w:bottom w:val="none" w:sz="0" w:space="0" w:color="auto"/>
        <w:right w:val="none" w:sz="0" w:space="0" w:color="auto"/>
      </w:divBdr>
    </w:div>
    <w:div w:id="1660308066">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2071297220">
      <w:bodyDiv w:val="1"/>
      <w:marLeft w:val="0"/>
      <w:marRight w:val="0"/>
      <w:marTop w:val="0"/>
      <w:marBottom w:val="0"/>
      <w:divBdr>
        <w:top w:val="none" w:sz="0" w:space="0" w:color="auto"/>
        <w:left w:val="none" w:sz="0" w:space="0" w:color="auto"/>
        <w:bottom w:val="none" w:sz="0" w:space="0" w:color="auto"/>
        <w:right w:val="none" w:sz="0" w:space="0" w:color="auto"/>
      </w:divBdr>
    </w:div>
    <w:div w:id="211786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846</TotalTime>
  <Pages>4</Pages>
  <Words>1834</Words>
  <Characters>10458</Characters>
  <Application>Microsoft Office Word</Application>
  <DocSecurity>0</DocSecurity>
  <Lines>87</Lines>
  <Paragraphs>24</Paragraphs>
  <ScaleCrop>false</ScaleCrop>
  <Company>ETSI Sophia Antipolis</Company>
  <LinksUpToDate>false</LinksUpToDate>
  <CharactersWithSpaces>12268</CharactersWithSpaces>
  <SharedDoc>false</SharedDoc>
  <HLinks>
    <vt:vector size="12" baseType="variant">
      <vt:variant>
        <vt:i4>917612</vt:i4>
      </vt:variant>
      <vt:variant>
        <vt:i4>3</vt:i4>
      </vt:variant>
      <vt:variant>
        <vt:i4>0</vt:i4>
      </vt:variant>
      <vt:variant>
        <vt:i4>5</vt:i4>
      </vt:variant>
      <vt:variant>
        <vt:lpwstr>https://www.3gpp.org/ftp/TSG_SA/WG4_CODEC/TSGS4_120-e/Docs/S4-221068.zip</vt:lpwstr>
      </vt:variant>
      <vt:variant>
        <vt:lpwstr/>
      </vt:variant>
      <vt:variant>
        <vt:i4>2949131</vt:i4>
      </vt:variant>
      <vt:variant>
        <vt:i4>0</vt:i4>
      </vt:variant>
      <vt:variant>
        <vt:i4>0</vt:i4>
      </vt:variant>
      <vt:variant>
        <vt:i4>5</vt:i4>
      </vt:variant>
      <vt:variant>
        <vt:lpwstr>https://www.3gpp.org/ftp/tsg_sa/WG2_Arch/TSGS2_151E_Electronic_2022-05/Docs/S2-2205287.zip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Lo</cp:lastModifiedBy>
  <cp:revision>84</cp:revision>
  <cp:lastPrinted>2002-04-23T07:10:00Z</cp:lastPrinted>
  <dcterms:created xsi:type="dcterms:W3CDTF">2023-03-13T16:59:00Z</dcterms:created>
  <dcterms:modified xsi:type="dcterms:W3CDTF">2023-03-15T16:26:00Z</dcterms:modified>
</cp:coreProperties>
</file>